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MADDİ VE MANEVİ TAZMİNAT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Zarar Gören (Davacı):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Zarar Veren (Davalı):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Olayın/Davanın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(Tazminatın nedeni olan olayın veya davanın kısa ve öz açıklaması)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Tazminat Bilgileri: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Ödenen Maddi Tazminat Tutarı: (Rakam ve yazı ile)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Ödenen Manevi Tazminat Tutarı: (Rakam ve yazı ile)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…/…/….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(Nakit, Havale, EFT vb.)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Gören, Zarar Veren tarafından ödenen toplam ... TL (yazı ile: …………….. Türk Lirası) tutarındaki maddi ve manevi tazminatı …/…/…. tarihinde eksiksiz ve tam olarak aldığını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Gören, Zarar Veren'i bu olay/dava nedeniyle doğan veya doğabilecek tüm maddi ve manevi zararları ile ilgili her türlü hak ve taleplerinden ibra eder.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Veren, Zarar Gören tarafından ibra edildiğini kabul eder ve bu ibraname ile taraflar arasında belirtilen olay/davaya ilişkin herhangi bir alacak-verecek veya tazminat ilişkisi kalmamıştır.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tarafların birbirlerine karşı olan tüm davalardan feragat ettikleri, ibranamenin kapsamı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Zarar Gören: Zarar Veren: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Maddi ve manevi tazminat ibranamesi, zarar görenin zarar verenden aldığı tazminatlar karşılığında zarar vereni ibra ettiğini gösteren önemli bir belgedir.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zarar görenin ibranameyi kendi özgür iradesiyle imzalaması gerekir.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Maddi ve manevi tazminat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