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SULH VE İBRANAME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(Taraf 1):</w:t>
      </w:r>
    </w:p>
    <w:p w:rsidR="00000000" w:rsidDel="00000000" w:rsidP="00000000" w:rsidRDefault="00000000" w:rsidRPr="00000000" w14:paraId="0000000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(Taraf 2):</w:t>
      </w:r>
    </w:p>
    <w:p w:rsidR="00000000" w:rsidDel="00000000" w:rsidP="00000000" w:rsidRDefault="00000000" w:rsidRPr="00000000" w14:paraId="0000000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Uyuşmazlık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(Uyuşmazlığın kısa bir açıklaması)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Sulh Şartları: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(Tarafların anlaşmaya vardığı hususlar detaylı bir şekilde yazılır.)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yukarıda belirtilen sulh şartları doğrultusunda birbirlerini tüm taleplerinden ibra ettiklerini beyan ederler. Bu ibraname ile taraflar arasında işbu uyuşmazlığa ilişkin herhangi bir alacak veya talep hakkı kalmamıştır.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sulh ve ibraname, taraflarca imzalandığı tarihte yürürlüğe girer.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 1: Taraf 2: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Şahitler:</w:t>
      </w:r>
      <w:r w:rsidDel="00000000" w:rsidR="00000000" w:rsidRPr="00000000">
        <w:rPr>
          <w:color w:val="1f1f1f"/>
          <w:rtl w:val="0"/>
        </w:rPr>
        <w:t xml:space="preserve"> (İsteğe bağlı)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İmza) (Adı Soyadı, İmza)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Sulh ve ibraname, tarafların karşılıklı rızasıyla ve kendi özgür iradeleriyle imzalamaları halinde geçerlidir.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içeriği, tarafların anlaştığı hususlara göre değişebilir.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tasdiki ile daha güçlü bir hukuki belge haline gelir.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Sulh ve ibraname, taraflar arasındaki uyuşmazlığı sona erdiren ve gelecekte aynı konuda dava açılmasını engelleyen bir anlaşmadır.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Sulh ve ibraname, mahkeme dışı bir uyuşmazlık çözüm yöntemidir.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sulh ve ibraname ile kendi aralarında bir çözüme ulaşarak mahkeme sürecinden kaçınabilirler.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Sulh ve ibraname, tarafların üzerindeki hukuki belirsizliği ortadan kaldırır ve gelecekte çıkabilecek anlaşmazlıkları önler.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Sulh ve ibraname, tarafların ilişkilerini düzeltmelerine ve gelecekteki işbirliklerine zemin hazırlamalarına yardımcı olabilir.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Sulh ve ibraname düzenlenirken bir avukattan hukuki destek almanız önerilir.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Kaynaklar: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Sulh ve İbra Sözleşmesi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https://avevrak.com/sulh-ve-ibra-sozlesmesi/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Karşılıklı Sulh ve İbra Sözleşmesi: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https://www.kap.org.tr/tr/ek-indir/33E834399814023CE0530A4A622B5826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Sulh ve İbra Sözleşmesi - Legalbank:</w:t>
      </w:r>
      <w:r w:rsidDel="00000000" w:rsidR="00000000" w:rsidRPr="00000000">
        <w:rPr>
          <w:color w:val="1f1f1f"/>
          <w:rtl w:val="0"/>
        </w:rPr>
        <w:t xml:space="preserve"> </w:t>
      </w:r>
      <w:hyperlink r:id="rId8">
        <w:r w:rsidDel="00000000" w:rsidR="00000000" w:rsidRPr="00000000">
          <w:rPr>
            <w:color w:val="0b57d0"/>
            <w:u w:val="single"/>
            <w:rtl w:val="0"/>
          </w:rPr>
          <w:t xml:space="preserve">https://legalbank.net/belge/sigorta-hukukunda-sulh-ve-ibra-sozlesmesi/3051224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ek kaynaklar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avevrak.com/sulh-ve-ibra-sozlesmesi/" TargetMode="External"/><Relationship Id="rId7" Type="http://schemas.openxmlformats.org/officeDocument/2006/relationships/hyperlink" Target="https://www.kap.org.tr/tr/ek-indir/33E834399814023CE0530A4A622B5826" TargetMode="External"/><Relationship Id="rId8" Type="http://schemas.openxmlformats.org/officeDocument/2006/relationships/hyperlink" Target="https://legalbank.net/belge/sigorta-hukukunda-sulh-ve-ibra-sozlesmesi/30512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