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FİYAT FARKI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[Kurum Adı]'nın yapım işleri ihalelerinde uygulanacak fiyat farkı hesabında kullanılacak esasları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4734 sayılı Kamu İhale Kanunu'na göre ihale edilen ve birim fiyat esasına göre yürütülen yapım işlerinde uygulanacak fiyat farkı hesabını kapsar.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Dayanak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mevzuata dayanır: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4734 sayılı Kamu İhale Kanunu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4734 sayılı Kamu İhale Kanununa Göre İhalesi Yapılacak Olan Yapım İşlerine İlişkin Fiyat Farkı Hesabında Uygulanacak Esaslar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İlgili diğer mevzuat hükümleri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Fiyat Farkı Hesaplama Yöntemi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Fiyat farkı, aşağıdaki formüle göre hesaplanacaktır: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Courier" w:cs="Courier" w:eastAsia="Courier" w:hAnsi="Courier"/>
          <w:color w:val="1f1f1f"/>
          <w:shd w:fill="f0f4f9" w:val="clear"/>
        </w:rPr>
      </w:pPr>
      <w:r w:rsidDel="00000000" w:rsidR="00000000" w:rsidRPr="00000000">
        <w:rPr>
          <w:rFonts w:ascii="Courier" w:cs="Courier" w:eastAsia="Courier" w:hAnsi="Courier"/>
          <w:color w:val="1f1f1f"/>
          <w:shd w:fill="f0f4f9" w:val="clear"/>
          <w:rtl w:val="0"/>
        </w:rPr>
        <w:t xml:space="preserve">Fiyat Farkı = Σ (Pi x Qi x (Pn / Po)) - Σ (Pi x Qi)</w:t>
        <w:br w:type="textWrapping"/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Formülde yer alan ifadelerin anlamları aşağıdaki gibidir: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Pi: Hakediş döneminde yapılan işin birim fiyatı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Qi: Hakediş döneminde yapılan işin miktarı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Pn: Hakediş döneminin fiyat farkı katsayısı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Po: İhale tarihinin içinde bulunduğu ayın fiyat farkı katsayısı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Fiyat Farkı Katsayıları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Fiyat farkı katsayıları, Türkiye İstatistik Kurumu (TÜİK) tarafından her ay yayınlanan Yapı Malzemeleri Üretici Fiyat Endeksi (Yİ-ÜFE) ve Tüketici Fiyat Endeksi (TÜFE) kullanılarak hesaplanacaktır.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Fiyat Farkı Ödemeleri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Fiyat farkı ödemeleri, hakedişlerle birlikte yapılacaktır. Fiyat farkı, pozitif ise yükleniciye ödenecek, negatif ise yükleniciden kesilecektir.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Diğer Hususlar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şartnamede belirtilmeyen hususlarda, 4734 sayılı Kamu İhale Kanunu ve ilgili diğer mevzuat hükümleri uygulanacaktır.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Sözleşmelerde yer alan fiyat farkına ilişkin esas ve usullerde, sözleşme imzalandıktan sonra değişiklik yapılamaz.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Fiyat farkı uygulanan işlerde, zorunlu nedenler dışında, hakedişlerin uygulama ayından sonraki ayın ilk beş iş günü içerisinde ve uygulama ayına ait endeksler belli olduktan sonra düzenlenmesi esastır.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Geçerlilik Süresi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[başlangıç tarihi] tarihinden itibaren [bitiş tarihi] tarihine kadar geçerlidir.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İmza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[Kurum Adı] ve yüklenici firma yetkilileri tarafından imzalanarak yürürlüğe girer.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[Yüklenici Firma]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ourier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