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ADLİYE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No:</w:t>
      </w:r>
      <w:r w:rsidDel="00000000" w:rsidR="00000000" w:rsidRPr="00000000">
        <w:rPr>
          <w:color w:val="1f1f1f"/>
          <w:rtl w:val="0"/>
        </w:rPr>
        <w:t xml:space="preserve"> (İlgili mahkemenin veya birimin tutanak numarası)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Tarihi:</w:t>
      </w:r>
      <w:r w:rsidDel="00000000" w:rsidR="00000000" w:rsidRPr="00000000">
        <w:rPr>
          <w:color w:val="1f1f1f"/>
          <w:rtl w:val="0"/>
        </w:rPr>
        <w:t xml:space="preserve"> .../.../......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Saati:</w:t>
      </w:r>
      <w:r w:rsidDel="00000000" w:rsidR="00000000" w:rsidRPr="00000000">
        <w:rPr>
          <w:color w:val="1f1f1f"/>
          <w:rtl w:val="0"/>
        </w:rPr>
        <w:t xml:space="preserve"> ...:...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Düzenleyen:</w:t>
      </w:r>
      <w:r w:rsidDel="00000000" w:rsidR="00000000" w:rsidRPr="00000000">
        <w:rPr>
          <w:color w:val="1f1f1f"/>
          <w:rtl w:val="0"/>
        </w:rPr>
        <w:t xml:space="preserve"> (Adı Soyadı, Unvanı, Görevi)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Düzenleme Yeri:</w:t>
      </w:r>
      <w:r w:rsidDel="00000000" w:rsidR="00000000" w:rsidRPr="00000000">
        <w:rPr>
          <w:color w:val="1f1f1f"/>
          <w:rtl w:val="0"/>
        </w:rPr>
        <w:t xml:space="preserve"> (Mahkeme salonu, duruşma odası, kalem odası vb.)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Hazır Bulunanlar: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Hakim:</w:t>
      </w:r>
      <w:r w:rsidDel="00000000" w:rsidR="00000000" w:rsidRPr="00000000">
        <w:rPr>
          <w:color w:val="1f1f1f"/>
          <w:rtl w:val="0"/>
        </w:rPr>
        <w:t xml:space="preserve"> (Adı Soyadı, Unvanı)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Savcı:</w:t>
      </w:r>
      <w:r w:rsidDel="00000000" w:rsidR="00000000" w:rsidRPr="00000000">
        <w:rPr>
          <w:color w:val="1f1f1f"/>
          <w:rtl w:val="0"/>
        </w:rPr>
        <w:t xml:space="preserve"> (Adı Soyadı, Unvanı)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Yazı İşleri Müdürü/Katip:</w:t>
      </w:r>
      <w:r w:rsidDel="00000000" w:rsidR="00000000" w:rsidRPr="00000000">
        <w:rPr>
          <w:color w:val="1f1f1f"/>
          <w:rtl w:val="0"/>
        </w:rPr>
        <w:t xml:space="preserve"> (Adı Soyadı, Unvanı)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Davacı/Vekili:</w:t>
      </w:r>
      <w:r w:rsidDel="00000000" w:rsidR="00000000" w:rsidRPr="00000000">
        <w:rPr>
          <w:color w:val="1f1f1f"/>
          <w:rtl w:val="0"/>
        </w:rPr>
        <w:t xml:space="preserve"> (Adı Soyadı, T.C. Kimlik No.)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Davalı/Vekili:</w:t>
      </w:r>
      <w:r w:rsidDel="00000000" w:rsidR="00000000" w:rsidRPr="00000000">
        <w:rPr>
          <w:color w:val="1f1f1f"/>
          <w:rtl w:val="0"/>
        </w:rPr>
        <w:t xml:space="preserve"> (Adı Soyadı, T.C. Kimlik No.)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Tanıklar:</w:t>
      </w:r>
      <w:r w:rsidDel="00000000" w:rsidR="00000000" w:rsidRPr="00000000">
        <w:rPr>
          <w:color w:val="1f1f1f"/>
          <w:rtl w:val="0"/>
        </w:rPr>
        <w:t xml:space="preserve"> (Adı Soyadı, T.C. Kimlik No.)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Bilirkişi:</w:t>
      </w:r>
      <w:r w:rsidDel="00000000" w:rsidR="00000000" w:rsidRPr="00000000">
        <w:rPr>
          <w:color w:val="1f1f1f"/>
          <w:rtl w:val="0"/>
        </w:rPr>
        <w:t xml:space="preserve"> (Adı Soyadı, Unvanı) (varsa)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Tercüman:</w:t>
      </w:r>
      <w:r w:rsidDel="00000000" w:rsidR="00000000" w:rsidRPr="00000000">
        <w:rPr>
          <w:color w:val="1f1f1f"/>
          <w:rtl w:val="0"/>
        </w:rPr>
        <w:t xml:space="preserve"> (Adı Soyadı, Unvanı) (varsa)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Dava Konusu:</w:t>
      </w:r>
      <w:r w:rsidDel="00000000" w:rsidR="00000000" w:rsidRPr="00000000">
        <w:rPr>
          <w:color w:val="1f1f1f"/>
          <w:rtl w:val="0"/>
        </w:rPr>
        <w:t xml:space="preserve"> (Davanın konusu kısa ve öz bir şekilde belirtilir. Örneğin, "Boşanma Davası", "Tazminat Davası", "Ceza Davası" gibi.)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Metni: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(Duruşma veya işlem sırasında yapılan tüm işlemler, beyanlar, talepler, kararlar ayrıntılı olarak yazılır. Örneğin, tanık ifadeleri, bilirkişi raporunun okunması, tarafların beyanları, hakimin soruları, verilen kararlar gibi.)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(İfadeler doğrudan veya özet olarak yazılabilir. Önemli olan, olayın bütünlüğünü bozmadan ve anlamını değiştirmeden aktarılmasıdır.)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(Tutanakta bahsi geçen ancak ayrıntıları yazılmayan belgelerin listesi verilir. Örneğin, dilekçeler, raporlar, fotoğraflar, videolar gibi.)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Hakim: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Savcı: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Yazı İşleri Müdürü/Katip: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Davacı/Vekili: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Davalı/Vekili: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Tanıklar: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Bilirkişi: (varsa)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Tercüman: (varsa)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genel bir format olup, duruşma veya işlemin türüne ve içeriğine göre uyarlanabilir.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Tutanakta yer alan tüm bilgilerin doğru, eksiksiz ve anlaşılır olması önemlidir.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Tutanak, yargılama sürecinin önemli bir belgesi olup, hukuki sonuçlar doğurabilir.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BİLGİLER: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Adliye tutanakları, 2802 sayılı Hakimler ve Savcılar Kanunu ile 6100 sayılı Hukuk Muhakemeleri Kanunu'na göre düzenlenir.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Tutanaklar, duruşma veya işlemin yapıldığı gün düzenlenir ve imzalanır.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Tutanakların eksiksiz ve doğru düzenlenmesi, adil yargılanma hakkının sağlanması için önemlidir.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0b57d0"/>
          <w:u w:val="single"/>
        </w:rPr>
      </w:pPr>
      <w:r w:rsidDel="00000000" w:rsidR="00000000" w:rsidRPr="00000000">
        <w:rPr>
          <w:color w:val="1f1f1f"/>
          <w:rtl w:val="0"/>
        </w:rPr>
        <w:t xml:space="preserve">Alternatif Çözümler Daire Başkanlığı: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https://alternatifcozumler.adalet.gov.tr/SayfaDetay/tutanak-talepname-ve-hukum-ornekleri</w:t>
        </w:r>
      </w:hyperlink>
      <w:r w:rsidDel="00000000" w:rsidR="00000000" w:rsidRPr="00000000">
        <w:rPr>
          <w:color w:val="1f1f1f"/>
          <w:rtl w:val="0"/>
        </w:rPr>
        <w:t xml:space="preserve"> İzmir Bölge Adliye Mahkemesi: </w:t>
      </w: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https://izmirbam.adalet.gov.tr/tutanaklar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size yardımcı olur.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alternatifcozumler.adalet.gov.tr/SayfaDetay/tutanak-talepname-ve-hukum-ornekleri" TargetMode="External"/><Relationship Id="rId7" Type="http://schemas.openxmlformats.org/officeDocument/2006/relationships/hyperlink" Target="https://izmirbam.adalet.gov.tr/tutanakl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