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shd w:fill="auto" w:val="clea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ENVANTER TUTANAĞI</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Tutanak Düzenleme Tarihi:</w:t>
      </w:r>
      <w:r w:rsidDel="00000000" w:rsidR="00000000" w:rsidRPr="00000000">
        <w:rPr>
          <w:color w:val="1f1f1f"/>
          <w:rtl w:val="0"/>
        </w:rPr>
        <w:t xml:space="preserve"> .../.../......</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Tutanak Düzenleme Saati:</w:t>
      </w:r>
      <w:r w:rsidDel="00000000" w:rsidR="00000000" w:rsidRPr="00000000">
        <w:rPr>
          <w:color w:val="1f1f1f"/>
          <w:rtl w:val="0"/>
        </w:rPr>
        <w:t xml:space="preserve"> ...:...</w:t>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Tutanak Düzenleyenler:</w:t>
      </w:r>
    </w:p>
    <w:p w:rsidR="00000000" w:rsidDel="00000000" w:rsidP="00000000" w:rsidRDefault="00000000" w:rsidRPr="00000000" w14:paraId="00000006">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Adı Soyadı (1):</w:t>
      </w:r>
      <w:r w:rsidDel="00000000" w:rsidR="00000000" w:rsidRPr="00000000">
        <w:rPr>
          <w:color w:val="1f1f1f"/>
          <w:rtl w:val="0"/>
        </w:rPr>
        <w:t xml:space="preserve"> (Unvanı)</w:t>
      </w:r>
    </w:p>
    <w:p w:rsidR="00000000" w:rsidDel="00000000" w:rsidP="00000000" w:rsidRDefault="00000000" w:rsidRPr="00000000" w14:paraId="00000007">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Adı Soyadı (2):</w:t>
      </w:r>
      <w:r w:rsidDel="00000000" w:rsidR="00000000" w:rsidRPr="00000000">
        <w:rPr>
          <w:color w:val="1f1f1f"/>
          <w:rtl w:val="0"/>
        </w:rPr>
        <w:t xml:space="preserve"> (Unvanı)</w:t>
      </w:r>
    </w:p>
    <w:p w:rsidR="00000000" w:rsidDel="00000000" w:rsidP="00000000" w:rsidRDefault="00000000" w:rsidRPr="00000000" w14:paraId="00000008">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Adı Soyadı (3):</w:t>
      </w:r>
      <w:r w:rsidDel="00000000" w:rsidR="00000000" w:rsidRPr="00000000">
        <w:rPr>
          <w:color w:val="1f1f1f"/>
          <w:rtl w:val="0"/>
        </w:rPr>
        <w:t xml:space="preserve"> (Unvanı)</w:t>
      </w:r>
    </w:p>
    <w:p w:rsidR="00000000" w:rsidDel="00000000" w:rsidP="00000000" w:rsidRDefault="00000000" w:rsidRPr="00000000" w14:paraId="00000009">
      <w:pPr>
        <w:pBdr>
          <w:top w:space="0" w:sz="0" w:val="nil"/>
          <w:left w:space="0" w:sz="0" w:val="nil"/>
          <w:bottom w:space="0" w:sz="0" w:val="nil"/>
          <w:right w:space="0" w:sz="0" w:val="nil"/>
          <w:between w:space="0" w:sz="0" w:val="nil"/>
        </w:pBdr>
        <w:shd w:fill="auto" w:val="clear"/>
        <w:spacing w:after="240" w:before="240" w:lineRule="auto"/>
        <w:rPr>
          <w:color w:val="1f1f1f"/>
        </w:rPr>
      </w:pPr>
      <w:r w:rsidDel="00000000" w:rsidR="00000000" w:rsidRPr="00000000">
        <w:rPr>
          <w:b w:val="1"/>
          <w:color w:val="1f1f1f"/>
          <w:rtl w:val="0"/>
        </w:rPr>
        <w:t xml:space="preserve">Envanter Sayımı Yapılan Yer:</w:t>
      </w:r>
      <w:r w:rsidDel="00000000" w:rsidR="00000000" w:rsidRPr="00000000">
        <w:rPr>
          <w:color w:val="1f1f1f"/>
          <w:rtl w:val="0"/>
        </w:rPr>
        <w:t xml:space="preserve"> (Depo, ofis, vb.)</w:t>
      </w:r>
    </w:p>
    <w:p w:rsidR="00000000" w:rsidDel="00000000" w:rsidP="00000000" w:rsidRDefault="00000000" w:rsidRPr="00000000" w14:paraId="0000000A">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Envanter Sayımı Nedeni:</w:t>
      </w:r>
      <w:r w:rsidDel="00000000" w:rsidR="00000000" w:rsidRPr="00000000">
        <w:rPr>
          <w:color w:val="1f1f1f"/>
          <w:rtl w:val="0"/>
        </w:rPr>
        <w:t xml:space="preserve"> (Yıllık sayım, devir teslim, vb.)</w:t>
      </w:r>
    </w:p>
    <w:p w:rsidR="00000000" w:rsidDel="00000000" w:rsidP="00000000" w:rsidRDefault="00000000" w:rsidRPr="00000000" w14:paraId="0000000B">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Envanter Listesi:</w:t>
      </w:r>
    </w:p>
    <w:p w:rsidR="00000000" w:rsidDel="00000000" w:rsidP="00000000" w:rsidRDefault="00000000" w:rsidRPr="00000000" w14:paraId="0000000C">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rtl w:val="0"/>
        </w:rPr>
      </w:r>
    </w:p>
    <w:p w:rsidR="00000000" w:rsidDel="00000000" w:rsidP="00000000" w:rsidRDefault="00000000" w:rsidRPr="00000000" w14:paraId="0000000D">
      <w:pPr>
        <w:pBdr>
          <w:top w:space="0" w:sz="0" w:val="nil"/>
          <w:left w:space="0" w:sz="0" w:val="nil"/>
          <w:bottom w:space="0" w:sz="0" w:val="nil"/>
          <w:right w:space="0" w:sz="0" w:val="nil"/>
          <w:between w:space="0" w:sz="0" w:val="nil"/>
        </w:pBdr>
        <w:shd w:fill="auto" w:val="clear"/>
        <w:rPr>
          <w:b w:val="1"/>
          <w:color w:val="1f1f1f"/>
        </w:rPr>
      </w:pPr>
      <w:r w:rsidDel="00000000" w:rsidR="00000000" w:rsidRPr="00000000">
        <w:rPr>
          <w:rtl w:val="0"/>
        </w:rPr>
      </w:r>
    </w:p>
    <w:p w:rsidR="00000000" w:rsidDel="00000000" w:rsidP="00000000" w:rsidRDefault="00000000" w:rsidRPr="00000000" w14:paraId="0000000E">
      <w:pPr>
        <w:pBdr>
          <w:top w:space="0" w:sz="0" w:val="nil"/>
          <w:left w:space="0" w:sz="0" w:val="nil"/>
          <w:bottom w:space="0" w:sz="0" w:val="nil"/>
          <w:right w:space="0" w:sz="0" w:val="nil"/>
          <w:between w:space="0" w:sz="0" w:val="nil"/>
        </w:pBdr>
        <w:shd w:fill="auto" w:val="clear"/>
        <w:rPr>
          <w:b w:val="1"/>
          <w:color w:val="1f1f1f"/>
        </w:rPr>
      </w:pPr>
      <w:r w:rsidDel="00000000" w:rsidR="00000000" w:rsidRPr="00000000">
        <w:rPr>
          <w:rtl w:val="0"/>
        </w:rPr>
      </w:r>
    </w:p>
    <w:p w:rsidR="00000000" w:rsidDel="00000000" w:rsidP="00000000" w:rsidRDefault="00000000" w:rsidRPr="00000000" w14:paraId="0000000F">
      <w:pPr>
        <w:pBdr>
          <w:top w:space="0" w:sz="0" w:val="nil"/>
          <w:left w:space="0" w:sz="0" w:val="nil"/>
          <w:bottom w:space="0" w:sz="0" w:val="nil"/>
          <w:right w:space="0" w:sz="0" w:val="nil"/>
          <w:between w:space="0" w:sz="0" w:val="nil"/>
        </w:pBdr>
        <w:shd w:fill="auto" w:val="clear"/>
        <w:rPr>
          <w:b w:val="1"/>
          <w:color w:val="1f1f1f"/>
        </w:rPr>
      </w:pPr>
      <w:r w:rsidDel="00000000" w:rsidR="00000000" w:rsidRPr="00000000">
        <w:rPr>
          <w:rtl w:val="0"/>
        </w:rPr>
      </w:r>
    </w:p>
    <w:tbl>
      <w:tblPr>
        <w:tblStyle w:val="Table1"/>
        <w:tblW w:w="9360.000000000002" w:type="dxa"/>
        <w:jc w:val="left"/>
        <w:tblLayout w:type="fixed"/>
        <w:tblLook w:val="0600"/>
      </w:tblPr>
      <w:tblGrid>
        <w:gridCol w:w="1337.1428571428573"/>
        <w:gridCol w:w="1337.1428571428573"/>
        <w:gridCol w:w="1337.1428571428573"/>
        <w:gridCol w:w="1337.1428571428573"/>
        <w:gridCol w:w="1337.1428571428573"/>
        <w:gridCol w:w="1337.1428571428573"/>
        <w:gridCol w:w="1337.1428571428573"/>
        <w:tblGridChange w:id="0">
          <w:tblGrid>
            <w:gridCol w:w="1337.1428571428573"/>
            <w:gridCol w:w="1337.1428571428573"/>
            <w:gridCol w:w="1337.1428571428573"/>
            <w:gridCol w:w="1337.1428571428573"/>
            <w:gridCol w:w="1337.1428571428573"/>
            <w:gridCol w:w="1337.1428571428573"/>
            <w:gridCol w:w="1337.1428571428573"/>
          </w:tblGrid>
        </w:tblGridChange>
      </w:tblGrid>
      <w:tr>
        <w:trPr>
          <w:cantSplit w:val="0"/>
          <w:tblHeader w:val="1"/>
        </w:trPr>
        <w:tc>
          <w:tcPr>
            <w:tcBorders>
              <w:top w:color="000000" w:space="0" w:sz="0" w:val="nil"/>
              <w:left w:color="000000" w:space="0" w:sz="0" w:val="nil"/>
              <w:bottom w:color="000000" w:space="0" w:sz="0" w:val="nil"/>
              <w:right w:color="000000" w:space="0" w:sz="0" w:val="nil"/>
            </w:tcBorders>
            <w:shd w:fill="f0f4f9" w:val="clear"/>
            <w:tcMar>
              <w:top w:w="240.0" w:type="dxa"/>
              <w:left w:w="240.0" w:type="dxa"/>
              <w:bottom w:w="240.0" w:type="dxa"/>
              <w:right w:w="240.0" w:type="dxa"/>
            </w:tcMar>
            <w:vAlign w:val="top"/>
          </w:tcPr>
          <w:p w:rsidR="00000000" w:rsidDel="00000000" w:rsidP="00000000" w:rsidRDefault="00000000" w:rsidRPr="00000000" w14:paraId="00000010">
            <w:pPr>
              <w:pBdr>
                <w:top w:space="0" w:sz="0" w:val="nil"/>
                <w:left w:space="0" w:sz="0" w:val="nil"/>
                <w:bottom w:space="0" w:sz="0" w:val="nil"/>
                <w:right w:space="0" w:sz="0" w:val="nil"/>
                <w:between w:space="0" w:sz="0" w:val="nil"/>
              </w:pBdr>
              <w:shd w:fill="auto" w:val="clear"/>
              <w:spacing w:after="240" w:before="240" w:lineRule="auto"/>
              <w:rPr>
                <w:b w:val="1"/>
                <w:color w:val="1f1f1f"/>
                <w:shd w:fill="auto" w:val="clear"/>
              </w:rPr>
            </w:pPr>
            <w:r w:rsidDel="00000000" w:rsidR="00000000" w:rsidRPr="00000000">
              <w:rPr>
                <w:b w:val="1"/>
                <w:color w:val="1f1f1f"/>
                <w:shd w:fill="auto" w:val="clear"/>
                <w:rtl w:val="0"/>
              </w:rPr>
              <w:t xml:space="preserve">Sıra No</w:t>
            </w:r>
          </w:p>
        </w:tc>
        <w:tc>
          <w:tcPr>
            <w:tcBorders>
              <w:top w:color="000000" w:space="0" w:sz="0" w:val="nil"/>
              <w:left w:color="000000" w:space="0" w:sz="0" w:val="nil"/>
              <w:bottom w:color="000000" w:space="0" w:sz="0" w:val="nil"/>
              <w:right w:color="000000" w:space="0" w:sz="0" w:val="nil"/>
            </w:tcBorders>
            <w:shd w:fill="f0f4f9" w:val="clear"/>
            <w:tcMar>
              <w:top w:w="240.0" w:type="dxa"/>
              <w:left w:w="240.0" w:type="dxa"/>
              <w:bottom w:w="240.0" w:type="dxa"/>
              <w:right w:w="240.0" w:type="dxa"/>
            </w:tcMar>
            <w:vAlign w:val="top"/>
          </w:tcPr>
          <w:p w:rsidR="00000000" w:rsidDel="00000000" w:rsidP="00000000" w:rsidRDefault="00000000" w:rsidRPr="00000000" w14:paraId="00000011">
            <w:pPr>
              <w:pBdr>
                <w:top w:space="0" w:sz="0" w:val="nil"/>
                <w:left w:space="0" w:sz="0" w:val="nil"/>
                <w:bottom w:space="0" w:sz="0" w:val="nil"/>
                <w:right w:space="0" w:sz="0" w:val="nil"/>
                <w:between w:space="0" w:sz="0" w:val="nil"/>
              </w:pBdr>
              <w:shd w:fill="auto" w:val="clear"/>
              <w:spacing w:after="240" w:before="240" w:lineRule="auto"/>
              <w:rPr>
                <w:b w:val="1"/>
                <w:color w:val="1f1f1f"/>
                <w:shd w:fill="auto" w:val="clear"/>
              </w:rPr>
            </w:pPr>
            <w:r w:rsidDel="00000000" w:rsidR="00000000" w:rsidRPr="00000000">
              <w:rPr>
                <w:b w:val="1"/>
                <w:color w:val="1f1f1f"/>
                <w:shd w:fill="auto" w:val="clear"/>
                <w:rtl w:val="0"/>
              </w:rPr>
              <w:t xml:space="preserve">Ürün/Malzeme Kodu</w:t>
            </w:r>
          </w:p>
        </w:tc>
        <w:tc>
          <w:tcPr>
            <w:tcBorders>
              <w:top w:color="000000" w:space="0" w:sz="0" w:val="nil"/>
              <w:left w:color="000000" w:space="0" w:sz="0" w:val="nil"/>
              <w:bottom w:color="000000" w:space="0" w:sz="0" w:val="nil"/>
              <w:right w:color="000000" w:space="0" w:sz="0" w:val="nil"/>
            </w:tcBorders>
            <w:shd w:fill="f0f4f9" w:val="clear"/>
            <w:tcMar>
              <w:top w:w="240.0" w:type="dxa"/>
              <w:left w:w="240.0" w:type="dxa"/>
              <w:bottom w:w="240.0" w:type="dxa"/>
              <w:right w:w="240.0" w:type="dxa"/>
            </w:tcMar>
            <w:vAlign w:val="top"/>
          </w:tcPr>
          <w:p w:rsidR="00000000" w:rsidDel="00000000" w:rsidP="00000000" w:rsidRDefault="00000000" w:rsidRPr="00000000" w14:paraId="00000012">
            <w:pPr>
              <w:pBdr>
                <w:top w:space="0" w:sz="0" w:val="nil"/>
                <w:left w:space="0" w:sz="0" w:val="nil"/>
                <w:bottom w:space="0" w:sz="0" w:val="nil"/>
                <w:right w:space="0" w:sz="0" w:val="nil"/>
                <w:between w:space="0" w:sz="0" w:val="nil"/>
              </w:pBdr>
              <w:shd w:fill="auto" w:val="clear"/>
              <w:spacing w:after="240" w:before="240" w:lineRule="auto"/>
              <w:rPr>
                <w:b w:val="1"/>
                <w:color w:val="1f1f1f"/>
                <w:shd w:fill="auto" w:val="clear"/>
              </w:rPr>
            </w:pPr>
            <w:r w:rsidDel="00000000" w:rsidR="00000000" w:rsidRPr="00000000">
              <w:rPr>
                <w:b w:val="1"/>
                <w:color w:val="1f1f1f"/>
                <w:shd w:fill="auto" w:val="clear"/>
                <w:rtl w:val="0"/>
              </w:rPr>
              <w:t xml:space="preserve">Ürün/Malzeme Adı</w:t>
            </w:r>
          </w:p>
        </w:tc>
        <w:tc>
          <w:tcPr>
            <w:tcBorders>
              <w:top w:color="000000" w:space="0" w:sz="0" w:val="nil"/>
              <w:left w:color="000000" w:space="0" w:sz="0" w:val="nil"/>
              <w:bottom w:color="000000" w:space="0" w:sz="0" w:val="nil"/>
              <w:right w:color="000000" w:space="0" w:sz="0" w:val="nil"/>
            </w:tcBorders>
            <w:shd w:fill="f0f4f9" w:val="clear"/>
            <w:tcMar>
              <w:top w:w="240.0" w:type="dxa"/>
              <w:left w:w="240.0" w:type="dxa"/>
              <w:bottom w:w="240.0" w:type="dxa"/>
              <w:right w:w="240.0" w:type="dxa"/>
            </w:tcMar>
            <w:vAlign w:val="top"/>
          </w:tcPr>
          <w:p w:rsidR="00000000" w:rsidDel="00000000" w:rsidP="00000000" w:rsidRDefault="00000000" w:rsidRPr="00000000" w14:paraId="00000013">
            <w:pPr>
              <w:pBdr>
                <w:top w:space="0" w:sz="0" w:val="nil"/>
                <w:left w:space="0" w:sz="0" w:val="nil"/>
                <w:bottom w:space="0" w:sz="0" w:val="nil"/>
                <w:right w:space="0" w:sz="0" w:val="nil"/>
                <w:between w:space="0" w:sz="0" w:val="nil"/>
              </w:pBdr>
              <w:shd w:fill="auto" w:val="clear"/>
              <w:spacing w:after="240" w:before="240" w:lineRule="auto"/>
              <w:rPr>
                <w:b w:val="1"/>
                <w:color w:val="1f1f1f"/>
                <w:shd w:fill="auto" w:val="clear"/>
              </w:rPr>
            </w:pPr>
            <w:r w:rsidDel="00000000" w:rsidR="00000000" w:rsidRPr="00000000">
              <w:rPr>
                <w:b w:val="1"/>
                <w:color w:val="1f1f1f"/>
                <w:shd w:fill="auto" w:val="clear"/>
                <w:rtl w:val="0"/>
              </w:rPr>
              <w:t xml:space="preserve">Miktar</w:t>
            </w:r>
          </w:p>
        </w:tc>
        <w:tc>
          <w:tcPr>
            <w:tcBorders>
              <w:top w:color="000000" w:space="0" w:sz="0" w:val="nil"/>
              <w:left w:color="000000" w:space="0" w:sz="0" w:val="nil"/>
              <w:bottom w:color="000000" w:space="0" w:sz="0" w:val="nil"/>
              <w:right w:color="000000" w:space="0" w:sz="0" w:val="nil"/>
            </w:tcBorders>
            <w:shd w:fill="f0f4f9" w:val="clear"/>
            <w:tcMar>
              <w:top w:w="240.0" w:type="dxa"/>
              <w:left w:w="240.0" w:type="dxa"/>
              <w:bottom w:w="240.0" w:type="dxa"/>
              <w:right w:w="240.0" w:type="dxa"/>
            </w:tcMar>
            <w:vAlign w:val="top"/>
          </w:tcPr>
          <w:p w:rsidR="00000000" w:rsidDel="00000000" w:rsidP="00000000" w:rsidRDefault="00000000" w:rsidRPr="00000000" w14:paraId="00000014">
            <w:pPr>
              <w:pBdr>
                <w:top w:space="0" w:sz="0" w:val="nil"/>
                <w:left w:space="0" w:sz="0" w:val="nil"/>
                <w:bottom w:space="0" w:sz="0" w:val="nil"/>
                <w:right w:space="0" w:sz="0" w:val="nil"/>
                <w:between w:space="0" w:sz="0" w:val="nil"/>
              </w:pBdr>
              <w:shd w:fill="auto" w:val="clear"/>
              <w:spacing w:after="240" w:before="240" w:lineRule="auto"/>
              <w:rPr>
                <w:b w:val="1"/>
                <w:color w:val="1f1f1f"/>
                <w:shd w:fill="auto" w:val="clear"/>
              </w:rPr>
            </w:pPr>
            <w:r w:rsidDel="00000000" w:rsidR="00000000" w:rsidRPr="00000000">
              <w:rPr>
                <w:b w:val="1"/>
                <w:color w:val="1f1f1f"/>
                <w:shd w:fill="auto" w:val="clear"/>
                <w:rtl w:val="0"/>
              </w:rPr>
              <w:t xml:space="preserve">Birim</w:t>
            </w:r>
          </w:p>
        </w:tc>
        <w:tc>
          <w:tcPr>
            <w:tcBorders>
              <w:top w:color="000000" w:space="0" w:sz="0" w:val="nil"/>
              <w:left w:color="000000" w:space="0" w:sz="0" w:val="nil"/>
              <w:bottom w:color="000000" w:space="0" w:sz="0" w:val="nil"/>
              <w:right w:color="000000" w:space="0" w:sz="0" w:val="nil"/>
            </w:tcBorders>
            <w:shd w:fill="f0f4f9" w:val="clear"/>
            <w:tcMar>
              <w:top w:w="240.0" w:type="dxa"/>
              <w:left w:w="240.0" w:type="dxa"/>
              <w:bottom w:w="240.0" w:type="dxa"/>
              <w:right w:w="240.0" w:type="dxa"/>
            </w:tcMar>
            <w:vAlign w:val="top"/>
          </w:tcPr>
          <w:p w:rsidR="00000000" w:rsidDel="00000000" w:rsidP="00000000" w:rsidRDefault="00000000" w:rsidRPr="00000000" w14:paraId="00000015">
            <w:pPr>
              <w:pBdr>
                <w:top w:space="0" w:sz="0" w:val="nil"/>
                <w:left w:space="0" w:sz="0" w:val="nil"/>
                <w:bottom w:space="0" w:sz="0" w:val="nil"/>
                <w:right w:space="0" w:sz="0" w:val="nil"/>
                <w:between w:space="0" w:sz="0" w:val="nil"/>
              </w:pBdr>
              <w:shd w:fill="auto" w:val="clear"/>
              <w:spacing w:after="240" w:before="240" w:lineRule="auto"/>
              <w:rPr>
                <w:b w:val="1"/>
                <w:color w:val="1f1f1f"/>
                <w:shd w:fill="auto" w:val="clear"/>
              </w:rPr>
            </w:pPr>
            <w:r w:rsidDel="00000000" w:rsidR="00000000" w:rsidRPr="00000000">
              <w:rPr>
                <w:b w:val="1"/>
                <w:color w:val="1f1f1f"/>
                <w:shd w:fill="auto" w:val="clear"/>
                <w:rtl w:val="0"/>
              </w:rPr>
              <w:t xml:space="preserve">Durumu</w:t>
            </w:r>
          </w:p>
        </w:tc>
        <w:tc>
          <w:tcPr>
            <w:tcBorders>
              <w:top w:color="000000" w:space="0" w:sz="0" w:val="nil"/>
              <w:left w:color="000000" w:space="0" w:sz="0" w:val="nil"/>
              <w:bottom w:color="000000" w:space="0" w:sz="0" w:val="nil"/>
              <w:right w:color="000000" w:space="0" w:sz="0" w:val="nil"/>
            </w:tcBorders>
            <w:shd w:fill="f0f4f9" w:val="clear"/>
            <w:tcMar>
              <w:top w:w="240.0" w:type="dxa"/>
              <w:left w:w="240.0" w:type="dxa"/>
              <w:bottom w:w="240.0" w:type="dxa"/>
              <w:right w:w="240.0" w:type="dxa"/>
            </w:tcMar>
            <w:vAlign w:val="top"/>
          </w:tcPr>
          <w:p w:rsidR="00000000" w:rsidDel="00000000" w:rsidP="00000000" w:rsidRDefault="00000000" w:rsidRPr="00000000" w14:paraId="00000016">
            <w:pPr>
              <w:pBdr>
                <w:top w:space="0" w:sz="0" w:val="nil"/>
                <w:left w:space="0" w:sz="0" w:val="nil"/>
                <w:bottom w:space="0" w:sz="0" w:val="nil"/>
                <w:right w:space="0" w:sz="0" w:val="nil"/>
                <w:between w:space="0" w:sz="0" w:val="nil"/>
              </w:pBdr>
              <w:shd w:fill="auto" w:val="clear"/>
              <w:spacing w:after="240" w:before="240" w:lineRule="auto"/>
              <w:rPr>
                <w:b w:val="1"/>
                <w:color w:val="1f1f1f"/>
                <w:shd w:fill="auto" w:val="clear"/>
              </w:rPr>
            </w:pPr>
            <w:r w:rsidDel="00000000" w:rsidR="00000000" w:rsidRPr="00000000">
              <w:rPr>
                <w:b w:val="1"/>
                <w:color w:val="1f1f1f"/>
                <w:shd w:fill="auto" w:val="clear"/>
                <w:rtl w:val="0"/>
              </w:rPr>
              <w:t xml:space="preserve">Açıklama</w:t>
            </w:r>
          </w:p>
        </w:tc>
      </w:tr>
      <w:tr>
        <w:trPr>
          <w:cantSplit w:val="0"/>
          <w:tblHeader w:val="0"/>
        </w:trPr>
        <w:tc>
          <w:tcPr>
            <w:shd w:fill="f0f4f9" w:val="clear"/>
            <w:tcMar>
              <w:top w:w="120.0" w:type="dxa"/>
              <w:left w:w="240.0" w:type="dxa"/>
              <w:bottom w:w="120.0" w:type="dxa"/>
              <w:right w:w="240.0" w:type="dxa"/>
            </w:tcMar>
            <w:vAlign w:val="top"/>
          </w:tcPr>
          <w:p w:rsidR="00000000" w:rsidDel="00000000" w:rsidP="00000000" w:rsidRDefault="00000000" w:rsidRPr="00000000" w14:paraId="00000017">
            <w:pPr>
              <w:pBdr>
                <w:top w:space="0" w:sz="0" w:val="nil"/>
                <w:left w:space="0" w:sz="0" w:val="nil"/>
                <w:bottom w:space="0" w:sz="0" w:val="nil"/>
                <w:right w:space="0" w:sz="0" w:val="nil"/>
                <w:between w:space="0" w:sz="0" w:val="nil"/>
              </w:pBdr>
              <w:shd w:fill="auto" w:val="clear"/>
              <w:spacing w:after="120" w:before="120" w:lineRule="auto"/>
              <w:rPr>
                <w:color w:val="1f1f1f"/>
                <w:shd w:fill="auto" w:val="clear"/>
              </w:rPr>
            </w:pPr>
            <w:r w:rsidDel="00000000" w:rsidR="00000000" w:rsidRPr="00000000">
              <w:rPr>
                <w:color w:val="1f1f1f"/>
                <w:shd w:fill="auto" w:val="clear"/>
                <w:rtl w:val="0"/>
              </w:rPr>
              <w:t xml:space="preserve">1</w:t>
            </w:r>
          </w:p>
        </w:tc>
        <w:tc>
          <w:tcPr>
            <w:shd w:fill="f0f4f9" w:val="clear"/>
            <w:tcMar>
              <w:top w:w="120.0" w:type="dxa"/>
              <w:left w:w="240.0" w:type="dxa"/>
              <w:bottom w:w="120.0" w:type="dxa"/>
              <w:right w:w="240.0" w:type="dxa"/>
            </w:tcMar>
            <w:vAlign w:val="top"/>
          </w:tcPr>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1f1f1f"/>
                <w:shd w:fill="auto" w:val="clear"/>
              </w:rPr>
            </w:pPr>
            <w:r w:rsidDel="00000000" w:rsidR="00000000" w:rsidRPr="00000000">
              <w:rPr>
                <w:rtl w:val="0"/>
              </w:rPr>
            </w:r>
          </w:p>
        </w:tc>
        <w:tc>
          <w:tcPr>
            <w:shd w:fill="f0f4f9" w:val="clear"/>
            <w:tcMar>
              <w:top w:w="120.0" w:type="dxa"/>
              <w:left w:w="240.0" w:type="dxa"/>
              <w:bottom w:w="120.0" w:type="dxa"/>
              <w:right w:w="240.0" w:type="dxa"/>
            </w:tcMar>
            <w:vAlign w:val="top"/>
          </w:tcPr>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1f1f1f"/>
                <w:shd w:fill="auto" w:val="clear"/>
              </w:rPr>
            </w:pPr>
            <w:r w:rsidDel="00000000" w:rsidR="00000000" w:rsidRPr="00000000">
              <w:rPr>
                <w:rtl w:val="0"/>
              </w:rPr>
            </w:r>
          </w:p>
        </w:tc>
        <w:tc>
          <w:tcPr>
            <w:shd w:fill="f0f4f9" w:val="clear"/>
            <w:tcMar>
              <w:top w:w="120.0" w:type="dxa"/>
              <w:left w:w="240.0" w:type="dxa"/>
              <w:bottom w:w="120.0" w:type="dxa"/>
              <w:right w:w="240.0" w:type="dxa"/>
            </w:tcMar>
            <w:vAlign w:val="top"/>
          </w:tcPr>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1f1f1f"/>
                <w:shd w:fill="auto" w:val="clear"/>
              </w:rPr>
            </w:pPr>
            <w:r w:rsidDel="00000000" w:rsidR="00000000" w:rsidRPr="00000000">
              <w:rPr>
                <w:rtl w:val="0"/>
              </w:rPr>
            </w:r>
          </w:p>
        </w:tc>
        <w:tc>
          <w:tcPr>
            <w:shd w:fill="f0f4f9" w:val="clear"/>
            <w:tcMar>
              <w:top w:w="120.0" w:type="dxa"/>
              <w:left w:w="240.0" w:type="dxa"/>
              <w:bottom w:w="120.0" w:type="dxa"/>
              <w:right w:w="240.0" w:type="dxa"/>
            </w:tcMar>
            <w:vAlign w:val="top"/>
          </w:tcPr>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1f1f1f"/>
                <w:shd w:fill="auto" w:val="clear"/>
              </w:rPr>
            </w:pPr>
            <w:r w:rsidDel="00000000" w:rsidR="00000000" w:rsidRPr="00000000">
              <w:rPr>
                <w:rtl w:val="0"/>
              </w:rPr>
            </w:r>
          </w:p>
        </w:tc>
        <w:tc>
          <w:tcPr>
            <w:shd w:fill="f0f4f9" w:val="clear"/>
            <w:tcMar>
              <w:top w:w="120.0" w:type="dxa"/>
              <w:left w:w="240.0" w:type="dxa"/>
              <w:bottom w:w="120.0" w:type="dxa"/>
              <w:right w:w="240.0" w:type="dxa"/>
            </w:tcMar>
            <w:vAlign w:val="top"/>
          </w:tcPr>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1f1f1f"/>
                <w:shd w:fill="auto" w:val="clear"/>
              </w:rPr>
            </w:pPr>
            <w:r w:rsidDel="00000000" w:rsidR="00000000" w:rsidRPr="00000000">
              <w:rPr>
                <w:rtl w:val="0"/>
              </w:rPr>
            </w:r>
          </w:p>
        </w:tc>
        <w:tc>
          <w:tcPr>
            <w:shd w:fill="f0f4f9" w:val="clear"/>
            <w:tcMar>
              <w:top w:w="120.0" w:type="dxa"/>
              <w:left w:w="240.0" w:type="dxa"/>
              <w:bottom w:w="120.0" w:type="dxa"/>
              <w:right w:w="240.0" w:type="dxa"/>
            </w:tcMar>
            <w:vAlign w:val="top"/>
          </w:tcPr>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1f1f1f"/>
                <w:shd w:fill="auto" w:val="clear"/>
              </w:rPr>
            </w:pPr>
            <w:r w:rsidDel="00000000" w:rsidR="00000000" w:rsidRPr="00000000">
              <w:rPr>
                <w:rtl w:val="0"/>
              </w:rPr>
            </w:r>
          </w:p>
        </w:tc>
      </w:tr>
      <w:tr>
        <w:trPr>
          <w:cantSplit w:val="0"/>
          <w:tblHeader w:val="0"/>
        </w:trPr>
        <w:tc>
          <w:tcPr>
            <w:shd w:fill="f0f4f9" w:val="clear"/>
            <w:tcMar>
              <w:top w:w="120.0" w:type="dxa"/>
              <w:left w:w="240.0" w:type="dxa"/>
              <w:bottom w:w="120.0" w:type="dxa"/>
              <w:right w:w="240.0" w:type="dxa"/>
            </w:tcMar>
            <w:vAlign w:val="top"/>
          </w:tcPr>
          <w:p w:rsidR="00000000" w:rsidDel="00000000" w:rsidP="00000000" w:rsidRDefault="00000000" w:rsidRPr="00000000" w14:paraId="0000001E">
            <w:pPr>
              <w:pBdr>
                <w:top w:space="0" w:sz="0" w:val="nil"/>
                <w:left w:space="0" w:sz="0" w:val="nil"/>
                <w:bottom w:space="0" w:sz="0" w:val="nil"/>
                <w:right w:space="0" w:sz="0" w:val="nil"/>
                <w:between w:space="0" w:sz="0" w:val="nil"/>
              </w:pBdr>
              <w:shd w:fill="auto" w:val="clear"/>
              <w:spacing w:after="120" w:before="120" w:lineRule="auto"/>
              <w:rPr>
                <w:color w:val="1f1f1f"/>
                <w:shd w:fill="auto" w:val="clear"/>
              </w:rPr>
            </w:pPr>
            <w:r w:rsidDel="00000000" w:rsidR="00000000" w:rsidRPr="00000000">
              <w:rPr>
                <w:color w:val="1f1f1f"/>
                <w:shd w:fill="auto" w:val="clear"/>
                <w:rtl w:val="0"/>
              </w:rPr>
              <w:t xml:space="preserve">2</w:t>
            </w:r>
          </w:p>
        </w:tc>
        <w:tc>
          <w:tcPr>
            <w:shd w:fill="f0f4f9" w:val="clear"/>
            <w:tcMar>
              <w:top w:w="120.0" w:type="dxa"/>
              <w:left w:w="240.0" w:type="dxa"/>
              <w:bottom w:w="120.0" w:type="dxa"/>
              <w:right w:w="240.0" w:type="dxa"/>
            </w:tcMar>
            <w:vAlign w:val="top"/>
          </w:tcPr>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1f1f1f"/>
                <w:shd w:fill="auto" w:val="clear"/>
              </w:rPr>
            </w:pPr>
            <w:r w:rsidDel="00000000" w:rsidR="00000000" w:rsidRPr="00000000">
              <w:rPr>
                <w:rtl w:val="0"/>
              </w:rPr>
            </w:r>
          </w:p>
        </w:tc>
        <w:tc>
          <w:tcPr>
            <w:shd w:fill="f0f4f9" w:val="clear"/>
            <w:tcMar>
              <w:top w:w="120.0" w:type="dxa"/>
              <w:left w:w="240.0" w:type="dxa"/>
              <w:bottom w:w="120.0" w:type="dxa"/>
              <w:right w:w="240.0" w:type="dxa"/>
            </w:tcMar>
            <w:vAlign w:val="top"/>
          </w:tcPr>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1f1f1f"/>
                <w:shd w:fill="auto" w:val="clear"/>
              </w:rPr>
            </w:pPr>
            <w:r w:rsidDel="00000000" w:rsidR="00000000" w:rsidRPr="00000000">
              <w:rPr>
                <w:rtl w:val="0"/>
              </w:rPr>
            </w:r>
          </w:p>
        </w:tc>
        <w:tc>
          <w:tcPr>
            <w:shd w:fill="f0f4f9" w:val="clear"/>
            <w:tcMar>
              <w:top w:w="120.0" w:type="dxa"/>
              <w:left w:w="240.0" w:type="dxa"/>
              <w:bottom w:w="120.0" w:type="dxa"/>
              <w:right w:w="240.0" w:type="dxa"/>
            </w:tcMar>
            <w:vAlign w:val="top"/>
          </w:tcPr>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1f1f1f"/>
                <w:shd w:fill="auto" w:val="clear"/>
              </w:rPr>
            </w:pPr>
            <w:r w:rsidDel="00000000" w:rsidR="00000000" w:rsidRPr="00000000">
              <w:rPr>
                <w:rtl w:val="0"/>
              </w:rPr>
            </w:r>
          </w:p>
        </w:tc>
        <w:tc>
          <w:tcPr>
            <w:shd w:fill="f0f4f9" w:val="clear"/>
            <w:tcMar>
              <w:top w:w="120.0" w:type="dxa"/>
              <w:left w:w="240.0" w:type="dxa"/>
              <w:bottom w:w="120.0" w:type="dxa"/>
              <w:right w:w="240.0" w:type="dxa"/>
            </w:tcMar>
            <w:vAlign w:val="top"/>
          </w:tcPr>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1f1f1f"/>
                <w:shd w:fill="auto" w:val="clear"/>
              </w:rPr>
            </w:pPr>
            <w:r w:rsidDel="00000000" w:rsidR="00000000" w:rsidRPr="00000000">
              <w:rPr>
                <w:rtl w:val="0"/>
              </w:rPr>
            </w:r>
          </w:p>
        </w:tc>
        <w:tc>
          <w:tcPr>
            <w:shd w:fill="f0f4f9" w:val="clear"/>
            <w:tcMar>
              <w:top w:w="120.0" w:type="dxa"/>
              <w:left w:w="240.0" w:type="dxa"/>
              <w:bottom w:w="120.0" w:type="dxa"/>
              <w:right w:w="240.0" w:type="dxa"/>
            </w:tcMar>
            <w:vAlign w:val="top"/>
          </w:tcPr>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1f1f1f"/>
                <w:shd w:fill="auto" w:val="clear"/>
              </w:rPr>
            </w:pPr>
            <w:r w:rsidDel="00000000" w:rsidR="00000000" w:rsidRPr="00000000">
              <w:rPr>
                <w:rtl w:val="0"/>
              </w:rPr>
            </w:r>
          </w:p>
        </w:tc>
        <w:tc>
          <w:tcPr>
            <w:shd w:fill="f0f4f9" w:val="clear"/>
            <w:tcMar>
              <w:top w:w="120.0" w:type="dxa"/>
              <w:left w:w="240.0" w:type="dxa"/>
              <w:bottom w:w="120.0" w:type="dxa"/>
              <w:right w:w="240.0" w:type="dxa"/>
            </w:tcMar>
            <w:vAlign w:val="top"/>
          </w:tcPr>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1f1f1f"/>
                <w:shd w:fill="auto" w:val="clear"/>
              </w:rPr>
            </w:pPr>
            <w:r w:rsidDel="00000000" w:rsidR="00000000" w:rsidRPr="00000000">
              <w:rPr>
                <w:rtl w:val="0"/>
              </w:rPr>
            </w:r>
          </w:p>
        </w:tc>
      </w:tr>
      <w:tr>
        <w:trPr>
          <w:cantSplit w:val="0"/>
          <w:tblHeader w:val="0"/>
        </w:trPr>
        <w:tc>
          <w:tcPr>
            <w:shd w:fill="f0f4f9" w:val="clear"/>
            <w:tcMar>
              <w:top w:w="120.0" w:type="dxa"/>
              <w:left w:w="240.0" w:type="dxa"/>
              <w:bottom w:w="120.0" w:type="dxa"/>
              <w:right w:w="240.0" w:type="dxa"/>
            </w:tcMar>
            <w:vAlign w:val="top"/>
          </w:tcPr>
          <w:p w:rsidR="00000000" w:rsidDel="00000000" w:rsidP="00000000" w:rsidRDefault="00000000" w:rsidRPr="00000000" w14:paraId="00000025">
            <w:pPr>
              <w:pBdr>
                <w:top w:space="0" w:sz="0" w:val="nil"/>
                <w:left w:space="0" w:sz="0" w:val="nil"/>
                <w:bottom w:space="0" w:sz="0" w:val="nil"/>
                <w:right w:space="0" w:sz="0" w:val="nil"/>
                <w:between w:space="0" w:sz="0" w:val="nil"/>
              </w:pBdr>
              <w:shd w:fill="auto" w:val="clear"/>
              <w:spacing w:after="120" w:before="120" w:lineRule="auto"/>
              <w:rPr>
                <w:color w:val="1f1f1f"/>
                <w:shd w:fill="auto" w:val="clear"/>
              </w:rPr>
            </w:pPr>
            <w:r w:rsidDel="00000000" w:rsidR="00000000" w:rsidRPr="00000000">
              <w:rPr>
                <w:color w:val="1f1f1f"/>
                <w:shd w:fill="auto" w:val="clear"/>
                <w:rtl w:val="0"/>
              </w:rPr>
              <w:t xml:space="preserve">3</w:t>
            </w:r>
          </w:p>
        </w:tc>
        <w:tc>
          <w:tcPr>
            <w:shd w:fill="f0f4f9" w:val="clear"/>
            <w:tcMar>
              <w:top w:w="120.0" w:type="dxa"/>
              <w:left w:w="240.0" w:type="dxa"/>
              <w:bottom w:w="120.0" w:type="dxa"/>
              <w:right w:w="240.0" w:type="dxa"/>
            </w:tcMar>
            <w:vAlign w:val="top"/>
          </w:tcPr>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1f1f1f"/>
                <w:shd w:fill="auto" w:val="clear"/>
              </w:rPr>
            </w:pPr>
            <w:r w:rsidDel="00000000" w:rsidR="00000000" w:rsidRPr="00000000">
              <w:rPr>
                <w:rtl w:val="0"/>
              </w:rPr>
            </w:r>
          </w:p>
        </w:tc>
        <w:tc>
          <w:tcPr>
            <w:shd w:fill="f0f4f9" w:val="clear"/>
            <w:tcMar>
              <w:top w:w="120.0" w:type="dxa"/>
              <w:left w:w="240.0" w:type="dxa"/>
              <w:bottom w:w="120.0" w:type="dxa"/>
              <w:right w:w="240.0" w:type="dxa"/>
            </w:tcMar>
            <w:vAlign w:val="top"/>
          </w:tcPr>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1f1f1f"/>
                <w:shd w:fill="auto" w:val="clear"/>
              </w:rPr>
            </w:pPr>
            <w:r w:rsidDel="00000000" w:rsidR="00000000" w:rsidRPr="00000000">
              <w:rPr>
                <w:rtl w:val="0"/>
              </w:rPr>
            </w:r>
          </w:p>
        </w:tc>
        <w:tc>
          <w:tcPr>
            <w:shd w:fill="f0f4f9" w:val="clear"/>
            <w:tcMar>
              <w:top w:w="120.0" w:type="dxa"/>
              <w:left w:w="240.0" w:type="dxa"/>
              <w:bottom w:w="120.0" w:type="dxa"/>
              <w:right w:w="240.0" w:type="dxa"/>
            </w:tcMar>
            <w:vAlign w:val="top"/>
          </w:tcPr>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1f1f1f"/>
                <w:shd w:fill="auto" w:val="clear"/>
              </w:rPr>
            </w:pPr>
            <w:r w:rsidDel="00000000" w:rsidR="00000000" w:rsidRPr="00000000">
              <w:rPr>
                <w:rtl w:val="0"/>
              </w:rPr>
            </w:r>
          </w:p>
        </w:tc>
        <w:tc>
          <w:tcPr>
            <w:shd w:fill="f0f4f9" w:val="clear"/>
            <w:tcMar>
              <w:top w:w="120.0" w:type="dxa"/>
              <w:left w:w="240.0" w:type="dxa"/>
              <w:bottom w:w="120.0" w:type="dxa"/>
              <w:right w:w="240.0" w:type="dxa"/>
            </w:tcMar>
            <w:vAlign w:val="top"/>
          </w:tcPr>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1f1f1f"/>
                <w:shd w:fill="auto" w:val="clear"/>
              </w:rPr>
            </w:pPr>
            <w:r w:rsidDel="00000000" w:rsidR="00000000" w:rsidRPr="00000000">
              <w:rPr>
                <w:rtl w:val="0"/>
              </w:rPr>
            </w:r>
          </w:p>
        </w:tc>
        <w:tc>
          <w:tcPr>
            <w:shd w:fill="f0f4f9" w:val="clear"/>
            <w:tcMar>
              <w:top w:w="120.0" w:type="dxa"/>
              <w:left w:w="240.0" w:type="dxa"/>
              <w:bottom w:w="120.0" w:type="dxa"/>
              <w:right w:w="240.0" w:type="dxa"/>
            </w:tcMar>
            <w:vAlign w:val="top"/>
          </w:tcPr>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1f1f1f"/>
                <w:shd w:fill="auto" w:val="clear"/>
              </w:rPr>
            </w:pPr>
            <w:r w:rsidDel="00000000" w:rsidR="00000000" w:rsidRPr="00000000">
              <w:rPr>
                <w:rtl w:val="0"/>
              </w:rPr>
            </w:r>
          </w:p>
        </w:tc>
        <w:tc>
          <w:tcPr>
            <w:shd w:fill="f0f4f9" w:val="clear"/>
            <w:tcMar>
              <w:top w:w="120.0" w:type="dxa"/>
              <w:left w:w="240.0" w:type="dxa"/>
              <w:bottom w:w="120.0" w:type="dxa"/>
              <w:right w:w="240.0" w:type="dxa"/>
            </w:tcMar>
            <w:vAlign w:val="top"/>
          </w:tcPr>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1f1f1f"/>
                <w:shd w:fill="auto" w:val="clear"/>
              </w:rPr>
            </w:pPr>
            <w:r w:rsidDel="00000000" w:rsidR="00000000" w:rsidRPr="00000000">
              <w:rPr>
                <w:rtl w:val="0"/>
              </w:rPr>
            </w:r>
          </w:p>
        </w:tc>
      </w:tr>
      <w:tr>
        <w:trPr>
          <w:cantSplit w:val="0"/>
          <w:tblHeader w:val="0"/>
        </w:trPr>
        <w:tc>
          <w:tcPr>
            <w:shd w:fill="f0f4f9" w:val="clear"/>
            <w:tcMar>
              <w:top w:w="120.0" w:type="dxa"/>
              <w:left w:w="240.0" w:type="dxa"/>
              <w:bottom w:w="120.0" w:type="dxa"/>
              <w:right w:w="240.0" w:type="dxa"/>
            </w:tcMar>
            <w:vAlign w:val="top"/>
          </w:tcPr>
          <w:p w:rsidR="00000000" w:rsidDel="00000000" w:rsidP="00000000" w:rsidRDefault="00000000" w:rsidRPr="00000000" w14:paraId="0000002C">
            <w:pPr>
              <w:pBdr>
                <w:top w:space="0" w:sz="0" w:val="nil"/>
                <w:left w:space="0" w:sz="0" w:val="nil"/>
                <w:bottom w:space="0" w:sz="0" w:val="nil"/>
                <w:right w:space="0" w:sz="0" w:val="nil"/>
                <w:between w:space="0" w:sz="0" w:val="nil"/>
              </w:pBdr>
              <w:shd w:fill="auto" w:val="clear"/>
              <w:spacing w:after="120" w:before="120" w:lineRule="auto"/>
              <w:rPr>
                <w:color w:val="1f1f1f"/>
                <w:shd w:fill="auto" w:val="clear"/>
              </w:rPr>
            </w:pPr>
            <w:r w:rsidDel="00000000" w:rsidR="00000000" w:rsidRPr="00000000">
              <w:rPr>
                <w:color w:val="1f1f1f"/>
                <w:shd w:fill="auto" w:val="clear"/>
                <w:rtl w:val="0"/>
              </w:rPr>
              <w:t xml:space="preserve">...</w:t>
            </w:r>
          </w:p>
        </w:tc>
        <w:tc>
          <w:tcPr>
            <w:shd w:fill="f0f4f9" w:val="clear"/>
            <w:tcMar>
              <w:top w:w="120.0" w:type="dxa"/>
              <w:left w:w="240.0" w:type="dxa"/>
              <w:bottom w:w="120.0" w:type="dxa"/>
              <w:right w:w="240.0" w:type="dxa"/>
            </w:tcMar>
            <w:vAlign w:val="top"/>
          </w:tcPr>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1f1f1f"/>
                <w:shd w:fill="auto" w:val="clear"/>
              </w:rPr>
            </w:pPr>
            <w:r w:rsidDel="00000000" w:rsidR="00000000" w:rsidRPr="00000000">
              <w:rPr>
                <w:rtl w:val="0"/>
              </w:rPr>
            </w:r>
          </w:p>
        </w:tc>
        <w:tc>
          <w:tcPr>
            <w:shd w:fill="f0f4f9" w:val="clear"/>
            <w:tcMar>
              <w:top w:w="120.0" w:type="dxa"/>
              <w:left w:w="240.0" w:type="dxa"/>
              <w:bottom w:w="120.0" w:type="dxa"/>
              <w:right w:w="240.0" w:type="dxa"/>
            </w:tcMar>
            <w:vAlign w:val="top"/>
          </w:tcPr>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1f1f1f"/>
                <w:shd w:fill="auto" w:val="clear"/>
              </w:rPr>
            </w:pPr>
            <w:r w:rsidDel="00000000" w:rsidR="00000000" w:rsidRPr="00000000">
              <w:rPr>
                <w:rtl w:val="0"/>
              </w:rPr>
            </w:r>
          </w:p>
        </w:tc>
        <w:tc>
          <w:tcPr>
            <w:shd w:fill="f0f4f9" w:val="clear"/>
            <w:tcMar>
              <w:top w:w="120.0" w:type="dxa"/>
              <w:left w:w="240.0" w:type="dxa"/>
              <w:bottom w:w="120.0" w:type="dxa"/>
              <w:right w:w="240.0" w:type="dxa"/>
            </w:tcMar>
            <w:vAlign w:val="top"/>
          </w:tcPr>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1f1f1f"/>
                <w:shd w:fill="auto" w:val="clear"/>
              </w:rPr>
            </w:pPr>
            <w:r w:rsidDel="00000000" w:rsidR="00000000" w:rsidRPr="00000000">
              <w:rPr>
                <w:rtl w:val="0"/>
              </w:rPr>
            </w:r>
          </w:p>
        </w:tc>
        <w:tc>
          <w:tcPr>
            <w:shd w:fill="f0f4f9" w:val="clear"/>
            <w:tcMar>
              <w:top w:w="120.0" w:type="dxa"/>
              <w:left w:w="240.0" w:type="dxa"/>
              <w:bottom w:w="120.0" w:type="dxa"/>
              <w:right w:w="240.0" w:type="dxa"/>
            </w:tcMar>
            <w:vAlign w:val="top"/>
          </w:tcPr>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1f1f1f"/>
                <w:shd w:fill="auto" w:val="clear"/>
              </w:rPr>
            </w:pPr>
            <w:r w:rsidDel="00000000" w:rsidR="00000000" w:rsidRPr="00000000">
              <w:rPr>
                <w:rtl w:val="0"/>
              </w:rPr>
            </w:r>
          </w:p>
        </w:tc>
        <w:tc>
          <w:tcPr>
            <w:shd w:fill="f0f4f9" w:val="clear"/>
            <w:tcMar>
              <w:top w:w="120.0" w:type="dxa"/>
              <w:left w:w="240.0" w:type="dxa"/>
              <w:bottom w:w="120.0" w:type="dxa"/>
              <w:right w:w="240.0" w:type="dxa"/>
            </w:tcMar>
            <w:vAlign w:val="top"/>
          </w:tcPr>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1f1f1f"/>
                <w:shd w:fill="auto" w:val="clear"/>
              </w:rPr>
            </w:pPr>
            <w:r w:rsidDel="00000000" w:rsidR="00000000" w:rsidRPr="00000000">
              <w:rPr>
                <w:rtl w:val="0"/>
              </w:rPr>
            </w:r>
          </w:p>
        </w:tc>
        <w:tc>
          <w:tcPr>
            <w:shd w:fill="f0f4f9" w:val="clear"/>
            <w:tcMar>
              <w:top w:w="120.0" w:type="dxa"/>
              <w:left w:w="240.0" w:type="dxa"/>
              <w:bottom w:w="120.0" w:type="dxa"/>
              <w:right w:w="240.0" w:type="dxa"/>
            </w:tcMar>
            <w:vAlign w:val="top"/>
          </w:tcPr>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1f1f1f"/>
                <w:shd w:fill="auto" w:val="clear"/>
              </w:rPr>
            </w:pPr>
            <w:r w:rsidDel="00000000" w:rsidR="00000000" w:rsidRPr="00000000">
              <w:rPr>
                <w:rtl w:val="0"/>
              </w:rPr>
            </w:r>
          </w:p>
        </w:tc>
      </w:tr>
    </w:tbl>
    <w:p w:rsidR="00000000" w:rsidDel="00000000" w:rsidP="00000000" w:rsidRDefault="00000000" w:rsidRPr="00000000" w14:paraId="00000033">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Eksik/Fazla/Hasarlı Malzemeler:</w:t>
      </w:r>
      <w:r w:rsidDel="00000000" w:rsidR="00000000" w:rsidRPr="00000000">
        <w:rPr>
          <w:color w:val="1f1f1f"/>
          <w:rtl w:val="0"/>
        </w:rPr>
        <w:t xml:space="preserve"> (Varsa eksik, fazla veya hasarlı malzemeler listelenir.)</w:t>
      </w:r>
    </w:p>
    <w:p w:rsidR="00000000" w:rsidDel="00000000" w:rsidP="00000000" w:rsidRDefault="00000000" w:rsidRPr="00000000" w14:paraId="00000034">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Genel Durum:</w:t>
      </w:r>
      <w:r w:rsidDel="00000000" w:rsidR="00000000" w:rsidRPr="00000000">
        <w:rPr>
          <w:color w:val="1f1f1f"/>
          <w:rtl w:val="0"/>
        </w:rPr>
        <w:t xml:space="preserve"> (Envanter sayımının genel durumu hakkında bilgi verilir.)</w:t>
      </w:r>
    </w:p>
    <w:p w:rsidR="00000000" w:rsidDel="00000000" w:rsidP="00000000" w:rsidRDefault="00000000" w:rsidRPr="00000000" w14:paraId="00000035">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Sonuç:</w:t>
      </w:r>
      <w:r w:rsidDel="00000000" w:rsidR="00000000" w:rsidRPr="00000000">
        <w:rPr>
          <w:color w:val="1f1f1f"/>
          <w:rtl w:val="0"/>
        </w:rPr>
        <w:t xml:space="preserve"> (Envanter sayımının sonucu ve tespit edilenler özetlenir.)</w:t>
      </w:r>
    </w:p>
    <w:p w:rsidR="00000000" w:rsidDel="00000000" w:rsidP="00000000" w:rsidRDefault="00000000" w:rsidRPr="00000000" w14:paraId="00000036">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İmzalar:</w:t>
      </w:r>
    </w:p>
    <w:p w:rsidR="00000000" w:rsidDel="00000000" w:rsidP="00000000" w:rsidRDefault="00000000" w:rsidRPr="00000000" w14:paraId="00000037">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Tutanak Düzenleyen (1): (İmza)</w:t>
      </w:r>
    </w:p>
    <w:p w:rsidR="00000000" w:rsidDel="00000000" w:rsidP="00000000" w:rsidRDefault="00000000" w:rsidRPr="00000000" w14:paraId="00000038">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Tutanak Düzenleyen (2): (İmza)</w:t>
      </w:r>
    </w:p>
    <w:p w:rsidR="00000000" w:rsidDel="00000000" w:rsidP="00000000" w:rsidRDefault="00000000" w:rsidRPr="00000000" w14:paraId="00000039">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Tutanak Düzenleyen (3): (İmza)</w:t>
      </w:r>
    </w:p>
    <w:p w:rsidR="00000000" w:rsidDel="00000000" w:rsidP="00000000" w:rsidRDefault="00000000" w:rsidRPr="00000000" w14:paraId="0000003A">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pict>
          <v:rect style="width:0.0pt;height:1.5pt" o:hr="t" o:hrstd="t" o:hralign="center" fillcolor="#A0A0A0" stroked="f"/>
        </w:pict>
      </w:r>
      <w:r w:rsidDel="00000000" w:rsidR="00000000" w:rsidRPr="00000000">
        <w:rPr>
          <w:b w:val="1"/>
          <w:color w:val="1f1f1f"/>
          <w:rtl w:val="0"/>
        </w:rPr>
        <w:t xml:space="preserve">Önemli Notlar:</w:t>
      </w:r>
    </w:p>
    <w:p w:rsidR="00000000" w:rsidDel="00000000" w:rsidP="00000000" w:rsidRDefault="00000000" w:rsidRPr="00000000" w14:paraId="0000003B">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Bu tutanak örneği genel bir formattır. Kurumunuzun veya şirketinizin belirlediği özel bir tutanak formatı varsa, o formatı kullanmanız gerekmektedir.</w:t>
      </w:r>
    </w:p>
    <w:p w:rsidR="00000000" w:rsidDel="00000000" w:rsidP="00000000" w:rsidRDefault="00000000" w:rsidRPr="00000000" w14:paraId="0000003C">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Envanter listesi, mümkün olduğunca detaylı ve açıklayıcı olmalıdır.</w:t>
      </w:r>
    </w:p>
    <w:p w:rsidR="00000000" w:rsidDel="00000000" w:rsidP="00000000" w:rsidRDefault="00000000" w:rsidRPr="00000000" w14:paraId="0000003D">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Eksik, fazla veya hasarlı malzemeler ayrıntılı olarak belirtilmelidir.</w:t>
      </w:r>
    </w:p>
    <w:p w:rsidR="00000000" w:rsidDel="00000000" w:rsidP="00000000" w:rsidRDefault="00000000" w:rsidRPr="00000000" w14:paraId="0000003E">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Tutanak, envanter sayımını yapan kişiler tarafından imzalanmalıdır.</w:t>
      </w:r>
    </w:p>
    <w:p w:rsidR="00000000" w:rsidDel="00000000" w:rsidP="00000000" w:rsidRDefault="00000000" w:rsidRPr="00000000" w14:paraId="0000003F">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Ek Bilgiler:</w:t>
      </w:r>
    </w:p>
    <w:p w:rsidR="00000000" w:rsidDel="00000000" w:rsidP="00000000" w:rsidRDefault="00000000" w:rsidRPr="00000000" w14:paraId="00000040">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Envanter tutanağı, bir işletme veya kurumda bulunan malzemelerin miktarını ve durumunu belirlemek amacıyla yapılan sayımın sonuçlarını belgelemek için kullanılır. Bu tutanak, stok kontrolü, devir teslim işlemleri, sigorta talepleri gibi çeşitli durumlarda önemli bir belge niteliği taşır.</w:t>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3">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i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i w:val="0"/>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