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ADI YAZILI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yazılı hususlarda kendi adına işlem yapma yetkisi vermektedir: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(Burada vekilin yetkilendirildiği işlemler açık ve net bir şekilde yazılmalıdır. Örneğin;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Belirli bir taşınmazın alım-satım işlemlerini yapmak,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hesapları ile ilgili işlemleri yapmak,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 alım-satımı yapmak,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ile ilgili işlemleri yapmak vb.)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İKİ TANIK: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 Soyadı: T.C. Kimlik Numarası: Adresi: İmza: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Adı Soyadı: T.C. Kimlik Numarası: Adresi: İmza: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Adi yazılı vekaletname, noter onayı gerektirmeyen bir vekaletname türüdür. Ancak, bazı resmi işlemlerde noter onaylı vekaletname istenebilir.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Adi yazılı vekaletnamede vekilin yetkileri açık ve net bir şekilde belirtilmelidir. Aksi takdirde, yetki aşımı gibi sorunlar yaşanabilir.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imzaları, iki tanık huzurunda atılmalıdır. Tanıklar da vekaletnameyi imzalamalıdır.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vekalet verenin ve vekilin T.C. kimlik numaraları ve adresleri doğru olarak yazılmalıdır.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