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BASİT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aşağıda belirtilen hususlarda kendi adına işlem yapma yetkisi vermektedir: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(Burada vekilin yetkilendirildiği işlemler açık ve net bir şekilde yazılmalıdır. Örneğin, kargo almak, fatura ödemek, resmi bir belgeyi teslim almak gibi.)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…/…/…. tarihine kadar geçerlidir. (Vekalet süresi belirtilmezse, vekaletname vekil eden tarafından geri alınana kadar geçerli olur.)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vekaletname örneği basit bir örnek olup, vekalet verenin ve vekilin ihtiyaçlarına göre değiştirilebilir.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yetkilerin kapsamı iyi düşünülmeli ve gereğinden fazla yetki verilmemelidir.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onayı gerektirmez, ancak bazı resmi işlemlerde noter tasdikli vekaletname istenebilir.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kimlik bilgileri ile adresleri doğru olarak yazılmalıdır.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