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BOŞ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(Bu kısım, vekilin yetkilendirildiği işlemlerin açık ve net bir şekilde yazılması için boş bırakılmıştır.)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(Bu kısım, vekaletnamenin noter tarafından onaylanması durumunda doldurulacaktır.)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örneği, vekalet verenin ve vekilin ihtiyaçlarına göre doldurulmalıdır.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