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GEÇİCİ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belirli bir süre için veya belirli bir işin yapılması için vekiline aşağıda belirtilen hususlarda kendi adına işlem yapma yetkisi vermektedir: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(Burada vekilin yetkilendirildiği işlemler açık ve net bir şekilde yazılmalıdır. Örneğin, belirli bir tarihte yapılacak toplantıya katılmak, belirli bir evrakı almak, belirli bir ödemeyi yapmak gibi.)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veya aşağıda belirtilen işin tamamlanmasıyla geçerliliğini yitirecektir: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(Burada vekaletnamenin geçerli olacağı süre veya iş açıkça belirtilmelidir.)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Geçici vekaletname, belirli bir süre veya belirli bir iş için verilen vekaletname türüdür.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süre dolduğunda veya belirtilen iş tamamlandığında vekaletname kendiliğinden sona erer.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dışında herhangi bir işlem yapmaya vekilin yetkisi yoktur.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Geçici vekaletname noter onayı gerektirmez, ancak bazı resmi işlemlerde noter tasdikli vekaletname istenebilir.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Vekalet Konusu: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sadece aşağıdaki işlemleri yapma yetkisi vermektedir: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…/…/…. tarihinde yapılacak olan ... (toplantı adı) toplantısına katılmak ve oy kullanmak.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... (kurum adı) kurumundan ... (belge adı) belgesini almak.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... (ödeme bilgileri) ödemesini yapmak.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