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T.C.</w:t>
      </w:r>
    </w:p>
    <w:p>
      <w:pPr>
        <w:jc w:val="center"/>
      </w:pPr>
      <w:r>
        <w:t>ANAYASA MAHKEMESİ BAŞKANLIĞI’NA</w:t>
      </w:r>
    </w:p>
    <w:p/>
    <w:p>
      <w:pPr>
        <w:jc w:val="center"/>
      </w:pPr>
      <w:r>
        <w:t>Konu: Bireysel başvuru – adil yargılanma hakkı ve kişi hürriyeti/güvenliği ihlali iddiası</w:t>
      </w:r>
    </w:p>
    <w:p/>
    <w:p>
      <w:r>
        <w:t>BAŞVURUCU : (Ad-Soyad/T.C. Kimlik No) ........................................................</w:t>
      </w:r>
    </w:p>
    <w:p>
      <w:r>
        <w:t>VEKİLİ     : Av. .................................................... (varsa)</w:t>
      </w:r>
    </w:p>
    <w:p>
      <w:r>
        <w:t>ADRES      : .........................................................................................</w:t>
      </w:r>
    </w:p>
    <w:p/>
    <w:p>
      <w:r>
        <w:t>I. OLAYLAR ve BAŞVURUNUN KONUSU</w:t>
      </w:r>
    </w:p>
    <w:p>
      <w:r>
        <w:t>— Başvurucu hakkında, FETÖ/PDY silahlı terör örgütü üyeliği (TCK 314) kapsamında</w:t>
      </w:r>
    </w:p>
    <w:p>
      <w:r>
        <w:t xml:space="preserve">  yürütülen soruşturma/kovuşturmada verilen .................................. tarih ve</w:t>
      </w:r>
    </w:p>
    <w:p>
      <w:r>
        <w:t xml:space="preserve">  ........................ sayılı nihai kararla hüküm kurulmuştur.</w:t>
      </w:r>
    </w:p>
    <w:p>
      <w:r>
        <w:t>— Başvurucu; (ör.: ByLock kaydı/HTS analizi/tanık beyanı/örgütsel irtibat iddiası vb.)</w:t>
      </w:r>
    </w:p>
    <w:p>
      <w:r>
        <w:t xml:space="preserve">  delillerin hukuka aykırı elde edildiğini veya mahkemece gerekçesiz şekilde kabul</w:t>
      </w:r>
    </w:p>
    <w:p>
      <w:r>
        <w:t xml:space="preserve">  edildiğini, savunma taleplerinin karşılanmadığını ileri sürmektedir.</w:t>
      </w:r>
    </w:p>
    <w:p>
      <w:r>
        <w:t>— Bu gerekçelerle; ‘adil yargılanma hakkı’ (Anayasa m.36; AİHS m.6) ve ‘kişi hürriyeti</w:t>
      </w:r>
    </w:p>
    <w:p>
      <w:r>
        <w:t xml:space="preserve">  ve güvenliği’ (Anayasa m.19) başta olmak üzere temel haklarının ihlal edildiği iddia</w:t>
      </w:r>
    </w:p>
    <w:p>
      <w:r>
        <w:t xml:space="preserve">  edilmektedir.</w:t>
      </w:r>
    </w:p>
    <w:p/>
    <w:p>
      <w:r>
        <w:t>II. BAŞVURU YOLLARININ TÜKETİLMESİ ve SÜRE</w:t>
      </w:r>
    </w:p>
    <w:p>
      <w:r>
        <w:t>— İlk derece kararına karşı istinaf/temyiz yolları tüketilmiş; Yargıtay/BAM tarafından</w:t>
      </w:r>
    </w:p>
    <w:p>
      <w:r>
        <w:t xml:space="preserve">  ....../..../20.... tarihinde verilen nihai karar .../..../20.... tarihinde tebliğ edilmiştir.</w:t>
      </w:r>
    </w:p>
    <w:p>
      <w:r>
        <w:t>— İşbu başvuru, tebliğden itibaren 30 günlük yasal süre içinde yapılmaktadır.</w:t>
      </w:r>
    </w:p>
    <w:p/>
    <w:p>
      <w:r>
        <w:t>III. İHLAL EDİLDİĞİ İLERİ SÜRÜLEN HAKLAR</w:t>
      </w:r>
    </w:p>
    <w:p>
      <w:r>
        <w:t>— Adil yargılanma hakkı (m.36)  ☐</w:t>
      </w:r>
    </w:p>
    <w:p>
      <w:r>
        <w:t>— Kişi hürriyeti ve güvenliği (m.19) ☐</w:t>
      </w:r>
    </w:p>
    <w:p>
      <w:r>
        <w:t>— Masumiyet karinesi/kanunilik (m.38) ☐</w:t>
      </w:r>
    </w:p>
    <w:p>
      <w:r>
        <w:t>— Özel hayat ve haberleşmenin gizliliği (m.20-22) ☐</w:t>
      </w:r>
    </w:p>
    <w:p>
      <w:r>
        <w:t>— Diğer: ............................................................ ☐</w:t>
      </w:r>
    </w:p>
    <w:p/>
    <w:p>
      <w:r>
        <w:t>IV. HUKUKİ NEDENLER</w:t>
      </w:r>
    </w:p>
    <w:p>
      <w:r>
        <w:t>Anayasa, 6216 sayılı Kanun, AYM İçtüzüğü, AİHS ve ilgili içtihat.</w:t>
      </w:r>
    </w:p>
    <w:p/>
    <w:p>
      <w:r>
        <w:t>V. DELİLLER</w:t>
      </w:r>
    </w:p>
    <w:p>
      <w:r>
        <w:t>Duruşma/zabıt ve karar örnekleri, müzekkere cevapları, bilirkişi/HTS/ByLock raporları,</w:t>
      </w:r>
    </w:p>
    <w:p>
      <w:r>
        <w:t>tanık beyanları, dijital materyal tespit tutanakları, tebligat ve UYAP kayıtları, diğer belgeler.</w:t>
      </w:r>
    </w:p>
    <w:p/>
    <w:p>
      <w:r>
        <w:t>VI. SONUÇ ve TALEP</w:t>
      </w:r>
    </w:p>
    <w:p>
      <w:r>
        <w:t>Açıklanan nedenlerle; temel hak ihlallerinin tespitine, yeniden yargılama/sonucun</w:t>
      </w:r>
    </w:p>
    <w:p>
      <w:r>
        <w:t>kaldırılması yönünde gerekli tedbirlerin alınmasına; başvurucu lehine makul gider ve</w:t>
      </w:r>
    </w:p>
    <w:p>
      <w:r>
        <w:t>vekalet ücretine hükmedilmesine karar verilmesini saygıyla arz ve talep ederim.</w:t>
      </w:r>
    </w:p>
    <w:p/>
    <w:p>
      <w:r>
        <w:t>..............., .... / .... / 20....</w:t>
      </w:r>
    </w:p>
    <w:p>
      <w:r>
        <w:t>Başvurucu/Vekili</w:t>
      </w:r>
    </w:p>
    <w:p>
      <w:r>
        <w:t>Ad-Soyad/İmza</w:t>
      </w:r>
    </w:p>
    <w:p/>
    <w:p>
      <w:r>
        <w:t>Ekler:</w:t>
      </w:r>
    </w:p>
    <w:p>
      <w:r>
        <w:t>1) Nihai karar ve tebliğ belgesi</w:t>
      </w:r>
    </w:p>
    <w:p>
      <w:r>
        <w:t>2) İstinaf/temyiz dilekçeleri ve kararları</w:t>
      </w:r>
    </w:p>
    <w:p>
      <w:r>
        <w:t>3) Delil listesi ve dayanak belgeler</w:t>
      </w:r>
    </w:p>
    <w:p>
      <w:r>
        <w:t>4) Vekaletname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