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İDARE MAHKEMESİ BAŞKANLIĞINA</w:t>
      </w:r>
    </w:p>
    <w:p/>
    <w:p>
      <w:pPr>
        <w:jc w:val="center"/>
      </w:pPr>
      <w:r>
        <w:rPr>
          <w:sz w:val="22"/>
        </w:rPr>
        <w:t>Konu: İdari işlemin iptali (yürütmenin durdurulması talepli)</w:t>
      </w:r>
    </w:p>
    <w:p/>
    <w:p>
      <w:pPr>
        <w:jc w:val="left"/>
      </w:pPr>
      <w:r>
        <w:rPr>
          <w:sz w:val="22"/>
        </w:rPr>
        <w:t>Dava konusu işlem: Davalı idare tarafından tesis edilen [../../20.. tarihli ve ..../.... sayılı] işlem (ör. disiplin cezası, ruhsat iptali, atama/yer değiştirme vb.) hukuka aykırıdır. İşleme ilişkin tebliğ tarihi [../../20..] olup süre içinde dava açmaktayım.</w:t>
      </w:r>
    </w:p>
    <w:p/>
    <w:p>
      <w:pPr>
        <w:jc w:val="left"/>
      </w:pPr>
      <w:r>
        <w:rPr>
          <w:sz w:val="22"/>
        </w:rPr>
        <w:t>Hukuka aykırılık nedenleri: İşlem; yetki, şekil, sebep, konu ve maksat unsurları yönlerinden hukuka aykırıdır. Özellikle [olay ve mevzuat atfı] bakımından ölçülülük ve eşitlik ilkelerine aykırı sonuç doğurmuştur.</w:t>
      </w:r>
    </w:p>
    <w:p/>
    <w:p>
      <w:pPr>
        <w:jc w:val="left"/>
      </w:pPr>
      <w:r>
        <w:rPr>
          <w:sz w:val="22"/>
        </w:rPr>
        <w:t>Yürütmenin durdurulması talebi: Dava konusu işlemin uygulanması hâlinde telafisi güç/İmkânsız zararlar doğacaktır. Açık hukuka aykırılık ve telafisi güç zarar koşulları birlikte gerçekleştiğinden, 2577 sayılı İYUK m.27 uyarınca işlemin yürütmesinin durdurulmasına karar verilmesini talep ederim.</w:t>
      </w:r>
    </w:p>
    <w:p/>
    <w:p>
      <w:pPr>
        <w:jc w:val="left"/>
      </w:pPr>
      <w:r>
        <w:rPr>
          <w:sz w:val="22"/>
        </w:rPr>
        <w:t>Ön başvuru (varsa): İYUK m.11 kapsamında [../../20..] tarihinde idareye başvurulmuş, [reddedilmiş/zımnen reddedilmiş] olup bu nedenle iptal davası açma zorunluluğu doğmuştur.</w:t>
      </w:r>
    </w:p>
    <w:p/>
    <w:p>
      <w:pPr>
        <w:jc w:val="left"/>
      </w:pPr>
      <w:r>
        <w:rPr>
          <w:sz w:val="22"/>
        </w:rPr>
        <w:t>Hukuki nedenler: 2577 sayılı İYUK ve ilgili mevzuat; yerleşik yargı içtihatları.</w:t>
      </w:r>
    </w:p>
    <w:p/>
    <w:p>
      <w:pPr>
        <w:jc w:val="left"/>
      </w:pPr>
      <w:r>
        <w:rPr>
          <w:sz w:val="22"/>
        </w:rPr>
        <w:t>Deliller: Dava konusu işlem ve ekleri, tebliğ belgesi, yazışmalar, tutanaklar, bilirkişi/keşif ve her türlü yasal delil.</w:t>
      </w:r>
    </w:p>
    <w:p/>
    <w:p>
      <w:pPr>
        <w:jc w:val="left"/>
      </w:pPr>
      <w:r>
        <w:rPr>
          <w:sz w:val="22"/>
        </w:rPr>
        <w:t>Sonuç ve talep: Açıklanan nedenlerle; dava konusu işlemin İPTALİNE, yürütmenin durdurulmasına; yargılama giderleri ve vekâlet ücretinin davalı idare üzerine bırakılmasına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[Davacı]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Davalı İdare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Dava konusu işlem ve ekleri</w:t>
      </w:r>
    </w:p>
    <w:p>
      <w:pPr>
        <w:jc w:val="left"/>
      </w:pPr>
      <w:r>
        <w:rPr>
          <w:sz w:val="22"/>
        </w:rPr>
        <w:t>2) Tebliğ belgesi/posta alındısı</w:t>
      </w:r>
    </w:p>
    <w:p>
      <w:pPr>
        <w:jc w:val="left"/>
      </w:pPr>
      <w:r>
        <w:rPr>
          <w:sz w:val="22"/>
        </w:rPr>
        <w:t>3) (Varsa) İYUK m.11 başvuru dilekçesi ve cevap yazısı</w:t>
      </w:r>
    </w:p>
    <w:p>
      <w:pPr>
        <w:jc w:val="left"/>
      </w:pPr>
      <w:r>
        <w:rPr>
          <w:sz w:val="22"/>
        </w:rPr>
        <w:t>4) Konuya ilişkin yazışmalar/tutanaklar/deliller</w:t>
      </w:r>
    </w:p>
    <w:p>
      <w:pPr>
        <w:jc w:val="left"/>
      </w:pPr>
      <w:r>
        <w:rPr>
          <w:sz w:val="22"/>
        </w:rPr>
        <w:t>5)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