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İŞ MAHKEMESİ HÂKİMLİĞİNE</w:t>
      </w:r>
    </w:p>
    <w:p/>
    <w:p>
      <w:pPr>
        <w:jc w:val="center"/>
      </w:pPr>
      <w:r>
        <w:rPr>
          <w:sz w:val="22"/>
        </w:rPr>
        <w:t>Konu: 4857 sayılı İş Kanunu m.18‑21 gereğince işe iade talebi</w:t>
      </w:r>
    </w:p>
    <w:p/>
    <w:p>
      <w:pPr>
        <w:jc w:val="left"/>
      </w:pPr>
      <w:r>
        <w:rPr>
          <w:sz w:val="22"/>
        </w:rPr>
        <w:t>Taraflar: Davacı işçi [Ad Soyad, T.C. No] ile davalı işveren [Unvan/Ad Soyad] arasındaki belirsiz süreli iş sözleşmesi, işveren tarafından [..../..../20....] tarihinde [geçerli/objektif olmayan] gerekçelerle feshedilmiştir.</w:t>
      </w:r>
    </w:p>
    <w:p/>
    <w:p>
      <w:pPr>
        <w:jc w:val="left"/>
      </w:pPr>
      <w:r>
        <w:rPr>
          <w:sz w:val="22"/>
        </w:rPr>
        <w:t>Fesih bildirimi ve şartlar: İşyerinde çalışan sayısı 30 ve üzeridir; işyerinde kıdemim 6 aydan fazladır ve iş akdim belirsiz süreli olup 4857 sayılı Kanun m.18 koşulları tarafımda mevcuttur. Fesih bildirimi bana [..../..../20....] tarihinde tebliğ edilmiştir.</w:t>
      </w:r>
    </w:p>
    <w:p/>
    <w:p>
      <w:pPr>
        <w:jc w:val="left"/>
      </w:pPr>
      <w:r>
        <w:rPr>
          <w:sz w:val="22"/>
        </w:rPr>
        <w:t>Arabuluculuk aşaması: 7036 sayılı İş Mahkemeleri Kanunu uyarınca [..../..../20....] tarihinde arabuluculuğa başvurdum. Görüşmeler [..../..../20....] tarihli son tutanakla anlaşmama ile sonuçlanmıştır. Bu nedenle süresi içinde işbu davayı açma zorunluluğu doğmuştur.</w:t>
      </w:r>
    </w:p>
    <w:p/>
    <w:p>
      <w:pPr>
        <w:jc w:val="left"/>
      </w:pPr>
      <w:r>
        <w:rPr>
          <w:sz w:val="22"/>
        </w:rPr>
        <w:t>Hukuki nedenler: 4857 sayılı İş Kanunu m.18‑21, 7036 sayılı İş Mahkemeleri Kanunu ve ilgili mevzuat ile yerleşik Yargıtay içtihatları.</w:t>
      </w:r>
    </w:p>
    <w:p/>
    <w:p>
      <w:pPr>
        <w:jc w:val="left"/>
      </w:pPr>
      <w:r>
        <w:rPr>
          <w:sz w:val="22"/>
        </w:rPr>
        <w:t>Talep ve sonuç: Haksız/geçersiz fesih nedeniyle; işe iade kararı verilmesini, kararın kesinleşmesine kadar boşta geçen süre için en çok dört aya kadar ücret ve diğer haklarımın davalıdan tahsilini; işe başlatılmamam hâlinde dört ile sekiz aylık ücretten takdir edilecek işe başlatmama tazminatına hükmedilmesini; yargılama giderleri ve vekâlet ücretinin davalı üzerinde bırakılmasını arz ve talep ederim.</w:t>
      </w:r>
    </w:p>
    <w:p/>
    <w:p>
      <w:pPr>
        <w:jc w:val="left"/>
      </w:pPr>
      <w:r>
        <w:rPr>
          <w:sz w:val="22"/>
        </w:rPr>
        <w:t>Deliller: İş sözleşmesi, özlük dosyası, bordrolar, fesih bildirimi, arabuluculuk başvuru ve son tutanağı, SGK kayıtları, tanık beyanları ve her tür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 İşçi]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Davalı İşveren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Fesih bildirimi/çıkarma yazısı</w:t>
      </w:r>
    </w:p>
    <w:p>
      <w:pPr>
        <w:jc w:val="left"/>
      </w:pPr>
      <w:r>
        <w:rPr>
          <w:sz w:val="22"/>
        </w:rPr>
        <w:t>2) Arabuluculuk başvurusu ve son tutanağı</w:t>
      </w:r>
    </w:p>
    <w:p>
      <w:pPr>
        <w:jc w:val="left"/>
      </w:pPr>
      <w:r>
        <w:rPr>
          <w:sz w:val="22"/>
        </w:rPr>
        <w:t>3) İş sözleşmesi/özlük dosyası ve SGK hizmet dökümü</w:t>
      </w:r>
    </w:p>
    <w:p>
      <w:pPr>
        <w:jc w:val="left"/>
      </w:pPr>
      <w:r>
        <w:rPr>
          <w:sz w:val="22"/>
        </w:rPr>
        <w:t>4) (Varsa) Bordro/izin kayıtları ve yazışmalar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