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[BÖLGE ADLİYE MAHKEMESİ] [Hukuk/Ceza] Dairesi Başkanlığına</w:t>
      </w:r>
    </w:p>
    <w:p/>
    <w:p>
      <w:pPr>
        <w:jc w:val="center"/>
      </w:pPr>
      <w:r>
        <w:rPr>
          <w:sz w:val="22"/>
        </w:rPr>
        <w:t>Konu: Kesinleşmiş istinaf kararında HMK m.304 kapsamında maddi hataların düzeltilmesi talebi</w:t>
      </w:r>
    </w:p>
    <w:p/>
    <w:p>
      <w:pPr>
        <w:jc w:val="left"/>
      </w:pPr>
      <w:r>
        <w:rPr>
          <w:sz w:val="22"/>
        </w:rPr>
        <w:t>Dosya Bilgisi: [Daire: ___] · [Esas No: ___/___] · [Karar No: ___/___] · Karar Tarihi: [..../..../20....]</w:t>
      </w:r>
    </w:p>
    <w:p/>
    <w:p>
      <w:pPr>
        <w:jc w:val="left"/>
      </w:pPr>
      <w:r>
        <w:rPr>
          <w:sz w:val="22"/>
        </w:rPr>
        <w:t>Açıklamalar: Yukarıda bilgileri yer alan dosyada verilen istinaf kararında, hüküm fıkrası/metninde maddi hata bulunduğu değerlendirilmiştir. Özellikle; [taraf adının yazımında/hesaplanan tutarda/faiz başlangıç tarihinde/E.-K. numarasında/harç‑yargılama gideri kalemlerinde] açık ve mahiyet itibarıyla düzeltilebilir nitelikte hata mevcuttur.</w:t>
      </w:r>
    </w:p>
    <w:p/>
    <w:p>
      <w:pPr>
        <w:jc w:val="left"/>
      </w:pPr>
      <w:r>
        <w:rPr>
          <w:sz w:val="22"/>
        </w:rPr>
        <w:t>Söz konusu maddi hata(lar) kararın esasını değiştirmeyecek nitelikte olup, HMK m.304 gereğince kararın düzeltilmesi mümkün ve gereklidir. Hatanın nasıl oluştuğunu ve doğru hâlini gösteren karşılaştırmalı tablo ve belgeler eklenmiştir.</w:t>
      </w:r>
    </w:p>
    <w:p/>
    <w:p>
      <w:pPr>
        <w:jc w:val="left"/>
      </w:pPr>
      <w:r>
        <w:rPr>
          <w:sz w:val="22"/>
        </w:rPr>
        <w:t>Talep: Belirtilen maddi hata(lar)ın HMK m.304 kapsamında düzeltilmesine; gerekli görülürse ek karar verilmesine; düzeltilmiş kararın taraflara tebliğine karar verilmesini saygıyla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[Başvuran/Davacı-Davalı/Vekili]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Onaylı istinaf karar örneği</w:t>
      </w:r>
    </w:p>
    <w:p>
      <w:pPr>
        <w:jc w:val="left"/>
      </w:pPr>
      <w:r>
        <w:rPr>
          <w:sz w:val="22"/>
        </w:rPr>
        <w:t>2) Maddi hatayı gösterir karşılaştırmalı tablo/açıklama</w:t>
      </w:r>
    </w:p>
    <w:p>
      <w:pPr>
        <w:jc w:val="left"/>
      </w:pPr>
      <w:r>
        <w:rPr>
          <w:sz w:val="22"/>
        </w:rPr>
        <w:t>3) (Varsa) Hesap çizelgesi/harç ve gider dökümü</w:t>
      </w:r>
    </w:p>
    <w:p>
      <w:pPr>
        <w:jc w:val="left"/>
      </w:pPr>
      <w:r>
        <w:rPr>
          <w:sz w:val="22"/>
        </w:rPr>
        <w:t>4) (Varsa) Vekâletname/temsil belgesi</w:t>
      </w:r>
    </w:p>
    <w:p>
      <w:pPr>
        <w:jc w:val="left"/>
      </w:pPr>
      <w:r>
        <w:rPr>
          <w:sz w:val="22"/>
        </w:rPr>
        <w:t>5) Tebligat evrakı ve UYAP çıktıları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