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AİLE MAHKEMESİNE</w:t>
      </w:r>
    </w:p>
    <w:p/>
    <w:p>
      <w:pPr>
        <w:jc w:val="center"/>
      </w:pPr>
      <w:r>
        <w:rPr>
          <w:sz w:val="22"/>
        </w:rPr>
        <w:t>Konu: Evlilik birliğinin sona ermesi nedeniyle edinilmiş malların tasfiyesi ve katılma alacağı talebi</w:t>
      </w:r>
    </w:p>
    <w:p/>
    <w:p>
      <w:pPr>
        <w:jc w:val="left"/>
      </w:pPr>
      <w:r>
        <w:rPr>
          <w:sz w:val="22"/>
        </w:rPr>
        <w:t>Taraflar: Davacı [Adı SOYADI, T.C.: ______] — Davalı [Adı SOYADI, T.C.: ______].</w:t>
      </w:r>
    </w:p>
    <w:p/>
    <w:p>
      <w:pPr>
        <w:jc w:val="left"/>
      </w:pPr>
      <w:r>
        <w:rPr>
          <w:sz w:val="22"/>
        </w:rPr>
        <w:t>Evlilik ve rejim bilgisi: Taraflar [..../..../20....] tarihinde evlenmiş, birlik [boşanma davası/kararı] ile [..../..../20....] tarihinde sona ermiştir. Eşler arasında mal rejimi olarak Türk Medeni Kanunu gereğince 'edinilmiş mallara katılma rejimi' uygulanmıştır [veya: noterde düzenlenen sözleşme ile şu tarih‑no'lu sözleşme geçerlidir].</w:t>
      </w:r>
    </w:p>
    <w:p/>
    <w:p>
      <w:pPr>
        <w:jc w:val="left"/>
      </w:pPr>
      <w:r>
        <w:rPr>
          <w:sz w:val="22"/>
        </w:rPr>
        <w:t>Edinilmiş mallar ve katkılar: Evlilik süresince edinilen; [adresli taşınmaz (ada/parsel/bağımsız bölüm no)], [taşıt marka‑model‑plaka], [mevduat/menkul kıymet/işletme payı], [kıdem/ihbar/işçilik alacakları vb.] malvarlığı unsurları mevcuttur. Söz konusu malların edinilmesine maaş/gelir katkım, ev içi emek ve çocuk bakımı dâhildir. Kişisel mallar ve kişisel borçlar ayrıştırılmalıdır.</w:t>
      </w:r>
    </w:p>
    <w:p/>
    <w:p>
      <w:pPr>
        <w:jc w:val="left"/>
      </w:pPr>
      <w:r>
        <w:rPr>
          <w:sz w:val="22"/>
        </w:rPr>
        <w:t>Hesap ilkeleri: Edinilmiş malların artık değerinin yarısı katılma alacağına esas olup; kişisel mallar düşüldükten, borçlar mahsup edildikten ve ekleme‑denkleştirme hükümleri uygulandıktan sonra hesaplama yapılmalıdır.</w:t>
      </w:r>
    </w:p>
    <w:p/>
    <w:p>
      <w:pPr>
        <w:jc w:val="left"/>
      </w:pPr>
      <w:r>
        <w:rPr>
          <w:sz w:val="22"/>
        </w:rPr>
        <w:t>Hukuki nedenler: TMK m.202‑241 (mal rejimleri), m.219 ve devamı (edinilmiş mal), m.231 (artık değer), m.236 (katılma alacağı), Yargıtay içtihatları ve ilgili mevzuat.</w:t>
      </w:r>
    </w:p>
    <w:p/>
    <w:p>
      <w:pPr>
        <w:jc w:val="left"/>
      </w:pPr>
      <w:r>
        <w:rPr>
          <w:sz w:val="22"/>
        </w:rPr>
        <w:t>Deliller: Nüfus kayıt örneği, boşanma ilamı/dosya bilgileri, tapu/taşıt kayıtları, banka hesap dökümleri, SGK hizmet dökümü/ikramiye‑kıdem alacak belgeleri, faturalar, ekspertiz/raporlar, tanık beyanları ve gerektiğinde bilirkişi incelemesi.</w:t>
      </w:r>
    </w:p>
    <w:p/>
    <w:p>
      <w:pPr>
        <w:jc w:val="left"/>
      </w:pPr>
      <w:r>
        <w:rPr>
          <w:sz w:val="22"/>
        </w:rPr>
        <w:t>Talep: Açıklanan nedenlerle; edinilmiş malların tasfiyesi sonucu belirlenecek artık değerin yarısı oranındaki katılma alacağımın (şimdilik) [........ TL] olarak davalıdan tahsiline; taşınır/taşınmazlar yönünden şerh/teminat ve ihtiyati tedbir uygulanmasına; yargılama giderleri ve vekâlet ücretinin davalı üzerinde bırakılmasına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Nüfus kayıt örneği ve boşanma ilamı</w:t>
      </w:r>
    </w:p>
    <w:p>
      <w:pPr>
        <w:jc w:val="left"/>
      </w:pPr>
      <w:r>
        <w:rPr>
          <w:sz w:val="22"/>
        </w:rPr>
        <w:t>2) Tapu/taşıt/banka ve menkul kıymet kayıtları</w:t>
      </w:r>
    </w:p>
    <w:p>
      <w:pPr>
        <w:jc w:val="left"/>
      </w:pPr>
      <w:r>
        <w:rPr>
          <w:sz w:val="22"/>
        </w:rPr>
        <w:t>3) SGK hizmet dökümü, işçilik alacak belgeleri (varsa)</w:t>
      </w:r>
    </w:p>
    <w:p>
      <w:pPr>
        <w:jc w:val="left"/>
      </w:pPr>
      <w:r>
        <w:rPr>
          <w:sz w:val="22"/>
        </w:rPr>
        <w:t>4) Ekspertiz/bilirkişi raporları (varsa)</w:t>
      </w:r>
    </w:p>
    <w:p>
      <w:pPr>
        <w:jc w:val="left"/>
      </w:pPr>
      <w:r>
        <w:rPr>
          <w:sz w:val="22"/>
        </w:rPr>
        <w:t>5) Diğer delil ve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