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YENİLENEBİLİR ENERJİ ANA (ÇERÇEVE) SÖZLEŞME ÖRNEĞİ</w:t>
      </w:r>
    </w:p>
    <w:p>
      <w:r>
        <w:t>Sözleşme No: [●]</w:t>
      </w:r>
    </w:p>
    <w:p>
      <w:r>
        <w:t>Tarih: [●]</w:t>
      </w:r>
    </w:p>
    <w:p>
      <w:r>
        <w:t>Yer: [●]</w:t>
      </w:r>
    </w:p>
    <w:p>
      <w:r>
        <w:rPr>
          <w:b/>
          <w:sz w:val="24"/>
        </w:rPr>
        <w:br/>
        <w:t>1. Taraflar</w:t>
      </w:r>
    </w:p>
    <w:p>
      <w:pPr>
        <w:spacing w:after="120"/>
      </w:pPr>
      <w:r>
        <w:t>1.1. **[SİPARİŞ VEREN/İŞVEREN]**: [Unvan], [MERSİS/vergino], [adres] (“**İşveren**”).</w:t>
      </w:r>
    </w:p>
    <w:p>
      <w:pPr>
        <w:spacing w:after="120"/>
      </w:pPr>
      <w:r>
        <w:t>1.2. **[YÜKLENİCİ/TEDARİKÇİ]**: [Unvan], [MERSİS/vergino], [adres] (“**Yüklenici**”).</w:t>
      </w:r>
    </w:p>
    <w:p>
      <w:pPr>
        <w:spacing w:after="120"/>
      </w:pPr>
      <w:r>
        <w:t>İşveren ve Yüklenici birlikte “**Taraflar**”, ayrı ayrı “**Taraf**” olarak anılacaktır.</w:t>
      </w:r>
    </w:p>
    <w:p>
      <w:r>
        <w:rPr>
          <w:b/>
          <w:sz w:val="24"/>
        </w:rPr>
        <w:br/>
        <w:t>2. Amaç ve Kapsam</w:t>
      </w:r>
    </w:p>
    <w:p>
      <w:pPr>
        <w:spacing w:after="120"/>
      </w:pPr>
      <w:r>
        <w:t>2.1. Bu Ana Sözleşme, Taraflar arasında yenilenebilir enerji projelerine (örn. güneş PV “**GES**”, rüzgâr “**RES**”, biyokütle/biogaz, küçük HES, jeotermal) ilişkin tedarik, mühendislik, kurulum, devreye alma, bakım ve işletme hizmetlerinin genel şartlarını belirler.</w:t>
      </w:r>
    </w:p>
    <w:p>
      <w:pPr>
        <w:spacing w:after="120"/>
      </w:pPr>
      <w:r>
        <w:t>2.2. Her bir proje/hizmet, bu Ana Sözleşme’ye atıf yapan **Sipariş Formu**, **İş Emri** veya **Ek Protokol** (“**Ek Proje Belgesi**”) ile somutlaştırılır.</w:t>
      </w:r>
    </w:p>
    <w:p>
      <w:r>
        <w:rPr>
          <w:b/>
          <w:sz w:val="24"/>
        </w:rPr>
        <w:br/>
        <w:t>3. Tanımlar</w:t>
      </w:r>
    </w:p>
    <w:p>
      <w:pPr>
        <w:spacing w:after="120"/>
      </w:pPr>
      <w:r>
        <w:t>3.1. **Ekipman**: Proje kapsamında tedarik edilecek tüm malzeme, cihaz, yazılım ve lisanslar.</w:t>
      </w:r>
    </w:p>
    <w:p>
      <w:pPr>
        <w:spacing w:after="120"/>
      </w:pPr>
      <w:r>
        <w:t>3.2. **Teknik Şartname**: Ek-1’de yer alan teknik gereklilikler.</w:t>
      </w:r>
    </w:p>
    <w:p>
      <w:pPr>
        <w:spacing w:after="120"/>
      </w:pPr>
      <w:r>
        <w:t>3.3. **Geçici/Kesin Kabul**: Ek-2’de tanımlanan test ve kabul prosedürleri.</w:t>
      </w:r>
    </w:p>
    <w:p>
      <w:pPr>
        <w:spacing w:after="120"/>
      </w:pPr>
      <w:r>
        <w:t>3.4. **İş Programı**: Ek-3’teki teslim süreleri ve kilometre taşları.</w:t>
      </w:r>
    </w:p>
    <w:p>
      <w:pPr>
        <w:spacing w:after="120"/>
      </w:pPr>
      <w:r>
        <w:t>3.5. **Hizmet Seviyesi (SLA)**: Ek-4’teki performans göstergeleri ve ölçüm yöntemleri.</w:t>
      </w:r>
    </w:p>
    <w:p>
      <w:r>
        <w:rPr>
          <w:b/>
          <w:sz w:val="24"/>
        </w:rPr>
        <w:br/>
        <w:t>4. Sözleşmenin Niteliği</w:t>
      </w:r>
    </w:p>
    <w:p>
      <w:pPr>
        <w:spacing w:after="120"/>
      </w:pPr>
      <w:r>
        <w:t>4.1. Ana Sözleşme çerçeve niteliğindedir; bağlayıcı ticari şartlar her **Ek Proje Belgesi** içinde belirlenir.</w:t>
      </w:r>
    </w:p>
    <w:p>
      <w:pPr>
        <w:spacing w:after="120"/>
      </w:pPr>
      <w:r>
        <w:t>4.2. Çelişki halinde sıralama: (i) Ek Proje Belgesi, (ii) Teknik Şartname, (iii) bu Ana Sözleşme, (iv) teklif ve yazışmalar.</w:t>
      </w:r>
    </w:p>
    <w:p>
      <w:r>
        <w:rPr>
          <w:b/>
          <w:sz w:val="24"/>
        </w:rPr>
        <w:br/>
        <w:t>5. Süre</w:t>
      </w:r>
    </w:p>
    <w:p>
      <w:pPr>
        <w:spacing w:after="120"/>
      </w:pPr>
      <w:r>
        <w:t>5.1. Ana Sözleşme yürürlük tarihinden itibaren **[●] yıl** geçerlidir.</w:t>
      </w:r>
    </w:p>
    <w:p>
      <w:pPr>
        <w:spacing w:after="120"/>
      </w:pPr>
      <w:r>
        <w:t>5.2. Devam eden projeler, ilgili Ek Proje Belgesi hükümlerine göre tamamlanır.</w:t>
      </w:r>
    </w:p>
    <w:p>
      <w:r>
        <w:rPr>
          <w:b/>
          <w:sz w:val="24"/>
        </w:rPr>
        <w:br/>
        <w:t>6. Lisanslar, İzinler ve Mevzuat</w:t>
      </w:r>
    </w:p>
    <w:p>
      <w:pPr>
        <w:spacing w:after="120"/>
      </w:pPr>
      <w:r>
        <w:t>6.1. Taraflar, projeye uygulanabilir mevzuata (örn. elektrik piyasası, çevre, iş sağlığı ve güvenliği, yangın, belediye/imar) uyar.</w:t>
      </w:r>
    </w:p>
    <w:p>
      <w:pPr>
        <w:spacing w:after="120"/>
      </w:pPr>
      <w:r>
        <w:t>6.2. İzin ve onaylardan [sorumluluk dağılımı: **İşveren/Yüklenici**] Ek-5’te belirtilir.</w:t>
      </w:r>
    </w:p>
    <w:p>
      <w:r>
        <w:rPr>
          <w:b/>
          <w:sz w:val="24"/>
        </w:rPr>
        <w:br/>
        <w:t>7. Hizmet ve Teslimatlar</w:t>
      </w:r>
    </w:p>
    <w:p>
      <w:pPr>
        <w:spacing w:after="120"/>
      </w:pPr>
      <w:r>
        <w:t>7.1. Yüklenici, Teknik Şartname ve İş Programı’na uygun şekilde mühendislik (E), tedarik (P) ve kurulum (C) ile (varsa) işletme-bakım (O&amp;M) hizmetlerini sunar.</w:t>
      </w:r>
    </w:p>
    <w:p>
      <w:pPr>
        <w:spacing w:after="120"/>
      </w:pPr>
      <w:r>
        <w:t>7.2. Teslimatlar ve dokümantasyon listesi Ek-6’dadır (proje dosyaları, as-built, tek hat şemaları, SCADA erişimi, garanti belgeleri).</w:t>
      </w:r>
    </w:p>
    <w:p>
      <w:r>
        <w:rPr>
          <w:b/>
          <w:sz w:val="24"/>
        </w:rPr>
        <w:br/>
        <w:t>8. Performans, Test ve Kabul</w:t>
      </w:r>
    </w:p>
    <w:p>
      <w:pPr>
        <w:spacing w:after="120"/>
      </w:pPr>
      <w:r>
        <w:t>8.1. Performans kriterleri (AC/DC güç, PR, üretim tahmini, arıza/uptime oranları) Ek-4’te tanımlanır.</w:t>
      </w:r>
    </w:p>
    <w:p>
      <w:pPr>
        <w:spacing w:after="120"/>
      </w:pPr>
      <w:r>
        <w:t>8.2. Geçici ve kesin kabul testleri Ek-2’ye göre yapılır; tutanakların imzasıyla ilgili aşama tamamlanmış sayılır.</w:t>
      </w:r>
    </w:p>
    <w:p>
      <w:pPr>
        <w:spacing w:after="120"/>
      </w:pPr>
      <w:r>
        <w:t>8.3. Hedeflerin tutturulamaması halinde düzeltici faaliyet ve (varsa) sözleşmesel cezalar uygulanır.</w:t>
      </w:r>
    </w:p>
    <w:p>
      <w:r>
        <w:rPr>
          <w:b/>
          <w:sz w:val="24"/>
        </w:rPr>
        <w:br/>
        <w:t>9. Fiyatlandırma, Ödeme ve Eskalasyon</w:t>
      </w:r>
    </w:p>
    <w:p>
      <w:pPr>
        <w:spacing w:after="120"/>
      </w:pPr>
      <w:r>
        <w:t>9.1. Her proje için **Bedel**, **para birimi**, **ödeme planı** ve **teminatlar** Ek Proje Belgesi’nde yer alır.</w:t>
      </w:r>
    </w:p>
    <w:p>
      <w:pPr>
        <w:spacing w:after="120"/>
      </w:pPr>
      <w:r>
        <w:t>9.2. Ödemeler, fatura tarihinden itibaren **[●] gün** içinde yapılır.</w:t>
      </w:r>
    </w:p>
    <w:p>
      <w:pPr>
        <w:spacing w:after="120"/>
      </w:pPr>
      <w:r>
        <w:t>9.3. Uzun dönemli bakım sözleşmelerinde yıllık bedel artışı: **[TÜFE/ÜFE/XYZ endeksi ± marj]**.</w:t>
      </w:r>
    </w:p>
    <w:p>
      <w:pPr>
        <w:spacing w:after="120"/>
      </w:pPr>
      <w:r>
        <w:t>9.4. Vergi, resim, harç ve fonların sorumluluğu **[Taraf dağılımı]**. Kamu teşvik/YEKA/YEKDEM gelir paylaşımı (varsa) Ek-7’de düzenlenir.</w:t>
      </w:r>
    </w:p>
    <w:p>
      <w:r>
        <w:rPr>
          <w:b/>
          <w:sz w:val="24"/>
        </w:rPr>
        <w:br/>
        <w:t>10. Değişiklik Yönetimi</w:t>
      </w:r>
    </w:p>
    <w:p>
      <w:pPr>
        <w:spacing w:after="120"/>
      </w:pPr>
      <w:r>
        <w:t>10.1. Teknik/ticari değişiklikler yazılı **Değişiklik Emri** ile yapılır.</w:t>
      </w:r>
    </w:p>
    <w:p>
      <w:pPr>
        <w:spacing w:after="120"/>
      </w:pPr>
      <w:r>
        <w:t>10.2. Değişikliğin bedel ve süreye etkisi hesaplanarak onaylanmadan uygulanmaz.</w:t>
      </w:r>
    </w:p>
    <w:p>
      <w:r>
        <w:rPr>
          <w:b/>
          <w:sz w:val="24"/>
        </w:rPr>
        <w:br/>
        <w:t>11. Teminatlar ve Garanti</w:t>
      </w:r>
    </w:p>
    <w:p>
      <w:pPr>
        <w:spacing w:after="120"/>
      </w:pPr>
      <w:r>
        <w:t>11.1. Yüklenici, **[geçici/kesin]** teminat mektubu sağlar: **[%●]** oranında.</w:t>
      </w:r>
    </w:p>
    <w:p>
      <w:pPr>
        <w:spacing w:after="120"/>
      </w:pPr>
      <w:r>
        <w:t>11.2. Ekipman garanti süresi: **[●] yıl**; işçilik/kurulum garanti süresi: **[●] ay/yıl**.</w:t>
      </w:r>
    </w:p>
    <w:p>
      <w:pPr>
        <w:spacing w:after="120"/>
      </w:pPr>
      <w:r>
        <w:t>11.3. Garanti kapsamı ve hariçler Ek-8’de detaylandırılır.</w:t>
      </w:r>
    </w:p>
    <w:p>
      <w:r>
        <w:rPr>
          <w:b/>
          <w:sz w:val="24"/>
        </w:rPr>
        <w:br/>
        <w:t>12. Sigortalar</w:t>
      </w:r>
    </w:p>
    <w:p>
      <w:pPr>
        <w:spacing w:after="120"/>
      </w:pPr>
      <w:r>
        <w:t>12.1. Yüklenici; **Montaj Tümü Riskler (EAR/CAR)**, üçüncü şahıs mali sorumluluk, nakliyat ve (varsa) profesyonel sorumluluk sigortalarını **[limitler]** dahilinde sağlar ve poliçeleri İşverene iletir.</w:t>
      </w:r>
    </w:p>
    <w:p>
      <w:pPr>
        <w:spacing w:after="120"/>
      </w:pPr>
      <w:r>
        <w:t>12.2. İşverenin varlık sigortası sorumluluğu (operasyon dönemi) Ek-9’da düzenlenir.</w:t>
      </w:r>
    </w:p>
    <w:p>
      <w:r>
        <w:rPr>
          <w:b/>
          <w:sz w:val="24"/>
        </w:rPr>
        <w:br/>
        <w:t>13. İş Sağlığı ve Güvenliği / Çevre</w:t>
      </w:r>
    </w:p>
    <w:p>
      <w:pPr>
        <w:spacing w:after="120"/>
      </w:pPr>
      <w:r>
        <w:t>13.1. Yüklenici, İSG ve çevre mevzuatına uygun plan, eğitim ve kişisel koruyucu donanımı temin eder.</w:t>
      </w:r>
    </w:p>
    <w:p>
      <w:pPr>
        <w:spacing w:after="120"/>
      </w:pPr>
      <w:r>
        <w:t>13.2. Atık yönetimi, geri dönüşüm ve sahada çevresel etkilerin azaltılması süreçleri Ek-10’da yer alır.</w:t>
      </w:r>
    </w:p>
    <w:p>
      <w:pPr>
        <w:spacing w:after="120"/>
      </w:pPr>
      <w:r>
        <w:t>13.3. Karbon emisyonu ve **yenilenebilir enerji sertifikaları/karbon kredileri** (varsa) paylaşım esasları Ek-11’de düzenlenir.</w:t>
      </w:r>
    </w:p>
    <w:p>
      <w:r>
        <w:rPr>
          <w:b/>
          <w:sz w:val="24"/>
        </w:rPr>
        <w:br/>
        <w:t>14. Fikri Mülkiyet ve Yazılım</w:t>
      </w:r>
    </w:p>
    <w:p>
      <w:pPr>
        <w:spacing w:after="120"/>
      </w:pPr>
      <w:r>
        <w:t>14.1. Proje özelinde geliştirilen çizim, doküman ve yazılımların mülkiyeti/ kullanım lisansı Ek-12’de belirlenir.</w:t>
      </w:r>
    </w:p>
    <w:p>
      <w:pPr>
        <w:spacing w:after="120"/>
      </w:pPr>
      <w:r>
        <w:t>14.2. SCADA/izleme sistemi erişim hakları, veri mülkiyeti ve API paylaşımı açıkça yazılır.</w:t>
      </w:r>
    </w:p>
    <w:p>
      <w:r>
        <w:rPr>
          <w:b/>
          <w:sz w:val="24"/>
        </w:rPr>
        <w:br/>
        <w:t>15. Gizlilik ve Kişisel Veriler</w:t>
      </w:r>
    </w:p>
    <w:p>
      <w:pPr>
        <w:spacing w:after="120"/>
      </w:pPr>
      <w:r>
        <w:t>15.1. Taraflar ticari ve teknik bilgileri gizli tutar; Gizlilik Sözleşmesi Ek-13’tür.</w:t>
      </w:r>
    </w:p>
    <w:p>
      <w:pPr>
        <w:spacing w:after="120"/>
      </w:pPr>
      <w:r>
        <w:t>15.2. KVKK/GDPR kapsamındaki kişisel veriler için aydınlatma ve veri işleme protokolleri Ek-14’tedir.</w:t>
      </w:r>
    </w:p>
    <w:p>
      <w:r>
        <w:rPr>
          <w:b/>
          <w:sz w:val="24"/>
        </w:rPr>
        <w:br/>
        <w:t>16. Alt Yüklenici ve Denetim</w:t>
      </w:r>
    </w:p>
    <w:p>
      <w:pPr>
        <w:spacing w:after="120"/>
      </w:pPr>
      <w:r>
        <w:t>16.1. Yüklenici, kritik işler için İşveren onaylı alt yüklenici kullanabilir; sorumluluk Yüklenicide kalır.</w:t>
      </w:r>
    </w:p>
    <w:p>
      <w:pPr>
        <w:spacing w:after="120"/>
      </w:pPr>
      <w:r>
        <w:t>16.2. İşveren, makul bildirimle sahada kalite ve İSG denetimi yapabilir.</w:t>
      </w:r>
    </w:p>
    <w:p>
      <w:r>
        <w:rPr>
          <w:b/>
          <w:sz w:val="24"/>
        </w:rPr>
        <w:br/>
        <w:t>17. Mücbir Sebep</w:t>
      </w:r>
    </w:p>
    <w:p>
      <w:pPr>
        <w:spacing w:after="120"/>
      </w:pPr>
      <w:r>
        <w:t>17.1. Doğal afet, savaş, grev, ciddi tedarik zinciri kısıtları vb. olaylar mücbir sebep sayılır.</w:t>
      </w:r>
    </w:p>
    <w:p>
      <w:pPr>
        <w:spacing w:after="120"/>
      </w:pPr>
      <w:r>
        <w:t>17.2. Etkilenen Taraf, **[●] gün** içinde yazılı bildirim yapar; süreler olay süresince uzar. **[●] gün** üzeri devam halinde Taraflar fesih/uyarlama görüşür.</w:t>
      </w:r>
    </w:p>
    <w:p>
      <w:r>
        <w:rPr>
          <w:b/>
          <w:sz w:val="24"/>
        </w:rPr>
        <w:br/>
        <w:t>18. Gecikme ve Cezalar</w:t>
      </w:r>
    </w:p>
    <w:p>
      <w:pPr>
        <w:spacing w:after="120"/>
      </w:pPr>
      <w:r>
        <w:t>18.1. Yüklenici gecikirse, Ek Proje Belgesi’ndeki günlük/haftalık **gecikme cezaları** uygulanır (üst sınır: sözleşme bedelinin **[%●]**).</w:t>
      </w:r>
    </w:p>
    <w:p>
      <w:pPr>
        <w:spacing w:after="120"/>
      </w:pPr>
      <w:r>
        <w:t>18.2. Hizmet seviyesi ihlallerinde **SLA cezaları** Ek-4’e göre işler.</w:t>
      </w:r>
    </w:p>
    <w:p>
      <w:r>
        <w:rPr>
          <w:b/>
          <w:sz w:val="24"/>
        </w:rPr>
        <w:br/>
        <w:t>19. Tazminat ve Sorumluluğun Sınırı</w:t>
      </w:r>
    </w:p>
    <w:p>
      <w:pPr>
        <w:spacing w:after="120"/>
      </w:pPr>
      <w:r>
        <w:t>19.1. Taraflar, kusurları oranında doğrudan zararları tazmin eder.</w:t>
      </w:r>
    </w:p>
    <w:p>
      <w:pPr>
        <w:spacing w:after="120"/>
      </w:pPr>
      <w:r>
        <w:t>19.2. **Dolaylı/sonuçsal zararlar** (kâr kaybı vb.) hariçtir; ağır kusur veya kasten haller saklıdır.</w:t>
      </w:r>
    </w:p>
    <w:p>
      <w:pPr>
        <w:spacing w:after="120"/>
      </w:pPr>
      <w:r>
        <w:t>19.3. Toplam sorumluluk, ilgili Ek Proje Belgesi bedelinin **[%●]** ile sınırlıdır (sigorta teminatları saklı).</w:t>
      </w:r>
    </w:p>
    <w:p>
      <w:r>
        <w:rPr>
          <w:b/>
          <w:sz w:val="24"/>
        </w:rPr>
        <w:br/>
        <w:t>20. Uyum ve Etik</w:t>
      </w:r>
    </w:p>
    <w:p>
      <w:pPr>
        <w:spacing w:after="120"/>
      </w:pPr>
      <w:r>
        <w:t>20.1. Rüşvetle mücadele, yaptırımlar, ihracat kontrolleri ve rekabet hukukuna uyum esastır.</w:t>
      </w:r>
    </w:p>
    <w:p>
      <w:pPr>
        <w:spacing w:after="120"/>
      </w:pPr>
      <w:r>
        <w:t>20.2. İhlal şüphesi halinde İşveren sözleşmeyi derhal feshedebilir.</w:t>
      </w:r>
    </w:p>
    <w:p>
      <w:r>
        <w:rPr>
          <w:b/>
          <w:sz w:val="24"/>
        </w:rPr>
        <w:br/>
        <w:t>21. Fesih</w:t>
      </w:r>
    </w:p>
    <w:p>
      <w:pPr>
        <w:spacing w:after="120"/>
      </w:pPr>
      <w:r>
        <w:t>21.1. Esaslı ihlalin **[●] gün** içinde giderilmemesi hâlinde haklı nedenle fesih.</w:t>
      </w:r>
    </w:p>
    <w:p>
      <w:pPr>
        <w:spacing w:after="120"/>
      </w:pPr>
      <w:r>
        <w:t>21.2. İflas/konkordato/mücbir sebebin makul süreyi aşması durumlarında fesih.</w:t>
      </w:r>
    </w:p>
    <w:p>
      <w:pPr>
        <w:spacing w:after="120"/>
      </w:pPr>
      <w:r>
        <w:t>21.3. Fesih sonrası; sahadaki malzeme ve dokümanların devri, ödenmemiş hakedişler ve teminatların iadesi Ek-15’e göre yürütülür.</w:t>
      </w:r>
    </w:p>
    <w:p>
      <w:r>
        <w:rPr>
          <w:b/>
          <w:sz w:val="24"/>
        </w:rPr>
        <w:br/>
        <w:t>22. Devir ve Temlik</w:t>
      </w:r>
    </w:p>
    <w:p>
      <w:pPr>
        <w:spacing w:after="120"/>
      </w:pPr>
      <w:r>
        <w:t>22.1. Taraflar, yazılı onay olmaksızın sözleşme hak ve borçlarını devredemez; teminat sağlayıcıya temlik istisnaları Ek-16’da düzenlenebilir.</w:t>
      </w:r>
    </w:p>
    <w:p>
      <w:r>
        <w:rPr>
          <w:b/>
          <w:sz w:val="24"/>
        </w:rPr>
        <w:br/>
        <w:t>23. Bildirimler</w:t>
      </w:r>
    </w:p>
    <w:p>
      <w:pPr>
        <w:spacing w:after="120"/>
      </w:pPr>
      <w:r>
        <w:t>23.1. Tüm bildirimler yazılı olup **[e-posta/KKEP/iadeli taahhütlü]** adreslere yapılır (Ek-17).</w:t>
      </w:r>
    </w:p>
    <w:p>
      <w:r>
        <w:rPr>
          <w:b/>
          <w:sz w:val="24"/>
        </w:rPr>
        <w:br/>
        <w:t>24. Uyuşmazlıkların Çözümü ve Uygulanacak Hukuk</w:t>
      </w:r>
    </w:p>
    <w:p>
      <w:pPr>
        <w:spacing w:after="120"/>
      </w:pPr>
      <w:r>
        <w:t>24.1. Uyuşmazlıklar önce iyi niyetli müzakere ile **[15/30] gün** içinde çözülmeye çalışılır.</w:t>
      </w:r>
    </w:p>
    <w:p>
      <w:pPr>
        <w:spacing w:after="120"/>
      </w:pPr>
      <w:r>
        <w:t>24.2. **Seçenek A – Devlet Mahkemeleri:** [Ülke] hukuku uygulanır; **[İstanbul (Çağlayan)/[●] Mahkemeleri]** yetkilidir.</w:t>
      </w:r>
    </w:p>
    <w:p>
      <w:pPr>
        <w:spacing w:after="120"/>
      </w:pPr>
      <w:r>
        <w:t>24.3. **Seçenek B – Tahkim:** [ISTAC/ICC/TAHM] kuralları, dil **Türkçe/İngilizce**, yer **[İstanbul/●]**, tek/üç hakem.</w:t>
      </w:r>
    </w:p>
    <w:p>
      <w:r>
        <w:rPr>
          <w:b/>
          <w:sz w:val="24"/>
        </w:rPr>
        <w:br/>
        <w:t>25. Yürürlük</w:t>
      </w:r>
    </w:p>
    <w:p>
      <w:pPr>
        <w:spacing w:after="120"/>
      </w:pPr>
      <w:r>
        <w:t>25.1. İşbu Ana Sözleşme **[tarih]** itibarıyla yürürlüğe girer ve **Madde 5** uyarınca sona erene kadar geçerlidir.</w:t>
      </w:r>
    </w:p>
    <w:p>
      <w:pPr>
        <w:spacing w:after="120"/>
      </w:pPr>
      <w:r>
        <w:t>25.2. Ekler, işbu Sözleşme’nin ayrılmaz parçasıdır.</w:t>
      </w:r>
    </w:p>
    <w:p>
      <w:r>
        <w:rPr>
          <w:b/>
        </w:rPr>
        <w:br/>
        <w:t>Ekler Listesi (örnek)</w:t>
      </w:r>
    </w:p>
    <w:p>
      <w:r>
        <w:t>- Ek-1: Teknik Şartname</w:t>
      </w:r>
    </w:p>
    <w:p>
      <w:r>
        <w:t>- Ek-2: Test – Geçici/Kesin Kabul Prosedürleri</w:t>
      </w:r>
    </w:p>
    <w:p>
      <w:r>
        <w:t>- Ek-3: İş Programı ve Kilometre Taşları</w:t>
      </w:r>
    </w:p>
    <w:p>
      <w:r>
        <w:t>- Ek-4: Hizmet Seviyesi (SLA) ve Cezalar</w:t>
      </w:r>
    </w:p>
    <w:p>
      <w:r>
        <w:t>- Ek-5: İzin/Lisans Sorumluluk Matrisi</w:t>
      </w:r>
    </w:p>
    <w:p>
      <w:r>
        <w:t>- Ek-6: Teslimat ve Dokümantasyon Listesi</w:t>
      </w:r>
    </w:p>
    <w:p>
      <w:r>
        <w:t>- Ek-7: Teşvik/YEKA/YEKDEM Gelir Paylaşımı (varsa)</w:t>
      </w:r>
    </w:p>
    <w:p>
      <w:r>
        <w:t>- Ek-8: Garanti Kapsamı ve Hariçler</w:t>
      </w:r>
    </w:p>
    <w:p>
      <w:r>
        <w:t>- Ek-9: Sigorta Poliçe Özetleri ve Limitler</w:t>
      </w:r>
    </w:p>
    <w:p>
      <w:r>
        <w:t>- Ek-10: İSG ve Çevre Planı</w:t>
      </w:r>
    </w:p>
    <w:p>
      <w:r>
        <w:t>- Ek-11: Karbon Sertifikaları/Kredileri Düzeni (varsa)</w:t>
      </w:r>
    </w:p>
    <w:p>
      <w:r>
        <w:t>- Ek-12: Fikri Mülkiyet &amp; Yazılım/SCADA Lisans Şartları</w:t>
      </w:r>
    </w:p>
    <w:p>
      <w:r>
        <w:t>- Ek-13: Gizlilik Sözleşmesi (NDA)</w:t>
      </w:r>
    </w:p>
    <w:p>
      <w:r>
        <w:t>- Ek-14: KVKK/GDPR Belgeleri</w:t>
      </w:r>
    </w:p>
    <w:p>
      <w:r>
        <w:t>- Ek-15: Fesih Sonrası Devir Teslim Prosedürü</w:t>
      </w:r>
    </w:p>
    <w:p>
      <w:r>
        <w:t>- Ek-16: Finansman/Taahhüt Temlik Düzeni (varsa)</w:t>
      </w:r>
    </w:p>
    <w:p>
      <w:r>
        <w:t>- Ek-17: Bildirim Adresleri</w:t>
      </w:r>
    </w:p>
    <w:p>
      <w:r>
        <w:rPr>
          <w:b/>
        </w:rPr>
        <w:br/>
        <w:t>İmza</w:t>
      </w:r>
    </w:p>
    <w:p>
      <w:r>
        <w:t>İşveren</w:t>
        <w:br/>
        <w:t>Unvan: [●]</w:t>
        <w:br/>
        <w:t>Ad/Soyad: [●] – Görev: [●]</w:t>
        <w:br/>
        <w:t>İmza: ____________  Tarih: ___ / ___ / 20__</w:t>
      </w:r>
    </w:p>
    <w:p>
      <w:r>
        <w:t>Yüklenici</w:t>
        <w:br/>
        <w:t>Unvan: [●]</w:t>
        <w:br/>
        <w:t>Ad/Soyad: [●] – Görev: [●]</w:t>
        <w:br/>
        <w:t>İmza: ____________  Tarih: ___ / ___ / 20__</w:t>
      </w:r>
    </w:p>
    <w:p>
      <w:r>
        <w:rPr>
          <w:b/>
        </w:rPr>
        <w:br/>
        <w:t>Notlar / Düzenleme İpuçları</w:t>
      </w:r>
    </w:p>
    <w:p>
      <w:r>
        <w:t>- Proje türü (GES/RES vb.), güç (MW), AC bağlantı, arazi/çatı, şebeke/OSOS detaylarını Ek-1’e ekleyin.</w:t>
      </w:r>
    </w:p>
    <w:p>
      <w:r>
        <w:t>- Üretim taahhütleri verilecekse ölçüm yöntemi ve müeyyideleri Ek-4’te netleştirin.</w:t>
      </w:r>
    </w:p>
    <w:p>
      <w:r>
        <w:t>- SCADA/izleme erişimi, veri saklama süresi ve API gereksinimlerini Ek-12’de açık yazın.</w:t>
      </w:r>
    </w:p>
    <w:p>
      <w:r>
        <w:t>- Garanti süresi/priorite süreleri ile yedek parça stok taahhüdünü (SLA) belirtin.</w:t>
      </w:r>
    </w:p>
    <w:p>
      <w:r>
        <w:t>- Sigorta limitlerini sahaya/bedellere göre gerçekçi koyun (CAR/EAR + 3ŞMS).</w:t>
      </w:r>
    </w:p>
    <w:p>
      <w:r>
        <w:t>- KVKK kapsamında sahaya giriş yapan personel listesi, aydınlatma ve gizlilik formlarını Ek-14’e ekleyin.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