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ASLİYE HUKUK MAHKEMESİNE</w:t>
      </w:r>
    </w:p>
    <w:p/>
    <w:p>
      <w:pPr>
        <w:jc w:val="center"/>
      </w:pPr>
      <w:r>
        <w:rPr>
          <w:sz w:val="22"/>
        </w:rPr>
        <w:t>Konu: Muris muvazaası nedeniyle tapu iptali ve tescil talepli dava dilekçesi</w:t>
      </w:r>
    </w:p>
    <w:p/>
    <w:p>
      <w:pPr>
        <w:jc w:val="left"/>
      </w:pPr>
      <w:r>
        <w:rPr>
          <w:sz w:val="22"/>
        </w:rPr>
        <w:t>Murisimiz [Ad Soyad], [..../..../20....] tarihinde vefat etmiştir. Murisin ölümünden önce, payımıza düşen miras hakkını bertaraf etmek amacıyla muvazaalı olarak; tapuda satış/bağış gibi gösterilmek suretiyle [İl/İlçe – Mahalle/Köy], [Ada/Parsel] numaralı taşınmazı [Davalı Adı]’na devrettiğini öğrenmiş bulunmaktayız.</w:t>
      </w:r>
    </w:p>
    <w:p/>
    <w:p>
      <w:pPr>
        <w:jc w:val="left"/>
      </w:pPr>
      <w:r>
        <w:rPr>
          <w:sz w:val="22"/>
        </w:rPr>
        <w:t>Gerçekte bağış niteliğinde olan bu işlemin satış gibi gösterilmesi murisin gerçek iradesini yansıtmamakta; mirasçılardan mal kaçırma amacı taşımaktadır. Olayın oluş şekli, tarafların ekonomik durumları, bedel ödenmemesi/emsale göre çok düşük bedel, devir sonrası fiilî kullanımın muriste/davalıda kalması gibi olgular muvazaayı göstermektedir.</w:t>
      </w:r>
    </w:p>
    <w:p/>
    <w:p>
      <w:pPr>
        <w:jc w:val="left"/>
      </w:pPr>
      <w:r>
        <w:rPr>
          <w:sz w:val="22"/>
        </w:rPr>
        <w:t>Hukuki nedenler: Türk Medeni Kanunu, Türk Borçlar Kanunu, ilgili mevzuat ve Yargıtay’ın muris muvazaasına ilişkin yerleşik içtihatları uyarınca görünürdeki satış işlemi gizli bağış sözleşmesiyle hükümsüzdür. İyiniyet iddiası bulunmayan/bulunamayacak üçüncü kişilere yapılan devirler de geçersizdir.</w:t>
      </w:r>
    </w:p>
    <w:p/>
    <w:p>
      <w:pPr>
        <w:jc w:val="left"/>
      </w:pPr>
      <w:r>
        <w:rPr>
          <w:sz w:val="22"/>
        </w:rPr>
        <w:t>Talep: Yukarıda açıklanan nedenlerle; [Ada/Parsel] bilgili taşınmaza ilişkin [yevmiye no/tarih] işleminden kaynaklanan tapu kaydının iptaline ve taşınmazın/ilgili payın davacı adına tesciline; mümkün olmadığı takdirde bedelinin faiziyle birlikte davalıdan tahsiline; yargılama giderleri ve vekâlet ücretinin davalı üzerinde bırakılmasına karar verilmesini arz ve talep ederim.</w:t>
      </w:r>
    </w:p>
    <w:p/>
    <w:p>
      <w:pPr>
        <w:jc w:val="left"/>
      </w:pPr>
      <w:r>
        <w:rPr>
          <w:sz w:val="22"/>
        </w:rPr>
        <w:t>Deliller: Tapu kayıtları, veraset ilamı, nüfus kayıt örnekleri, taşınmaz satış sözleşmesi/işlem dosyası, emsal satışlar, bilirkişi incelemesi, keşif, tanık beyanları ve her türlü yasal delil.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[Davacı/Mirasçı]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Tapu kayıt örneği ve işlem evrakları (yevmiye no/tarih)</w:t>
      </w:r>
    </w:p>
    <w:p>
      <w:pPr>
        <w:jc w:val="left"/>
      </w:pPr>
      <w:r>
        <w:rPr>
          <w:sz w:val="22"/>
        </w:rPr>
        <w:t>2) Veraset ilamı ve nüfus kayıt örnekleri</w:t>
      </w:r>
    </w:p>
    <w:p>
      <w:pPr>
        <w:jc w:val="left"/>
      </w:pPr>
      <w:r>
        <w:rPr>
          <w:sz w:val="22"/>
        </w:rPr>
        <w:t>3) (Varsa) Satış/bağış bedeline ilişkin belgeler ve emsal satışlar</w:t>
      </w:r>
    </w:p>
    <w:p>
      <w:pPr>
        <w:jc w:val="left"/>
      </w:pPr>
      <w:r>
        <w:rPr>
          <w:sz w:val="22"/>
        </w:rPr>
        <w:t>4) (Varsa) Tanık listesi ve adresleri</w:t>
      </w:r>
    </w:p>
    <w:p>
      <w:pPr>
        <w:jc w:val="left"/>
      </w:pPr>
      <w:r>
        <w:rPr>
          <w:sz w:val="22"/>
        </w:rPr>
        <w:t>5) (Varsa) Vekâletname sureti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