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Müdahalenin men’i (elatmanın önlenmesi) ve ecrimisil (haksız işgal tazminatı) talepli dava</w:t>
      </w:r>
    </w:p>
    <w:p/>
    <w:p>
      <w:pPr>
        <w:jc w:val="left"/>
      </w:pPr>
      <w:r>
        <w:rPr>
          <w:sz w:val="22"/>
        </w:rPr>
        <w:t>Davacı; tapuda malik/paydaş olduğum [İl/İlçe – Mahalle/Köy], [Ada/Parsel], [bağımsız bölüm/vasıf] nitelikli taşınmaza davalı tarafından haksız olarak müdahale edilmekte ve rızam hilafına kullanım sürdürülmektedir.</w:t>
      </w:r>
    </w:p>
    <w:p/>
    <w:p>
      <w:pPr>
        <w:jc w:val="left"/>
      </w:pPr>
      <w:r>
        <w:rPr>
          <w:sz w:val="22"/>
        </w:rPr>
        <w:t>Haksız müdahalenin [..../..../20....] tarihinden bu yana devam ettiği, bu süre zarfında taşınmazın gelirinden mahrum kaldığım açıktır. Müdahalenin derhal önlenmesi ile birlikte, haksız kullanım süresi için **ecrimisil** (rayiç kira/emsal gelir) bedelinin tahsili gerekmektedir.</w:t>
      </w:r>
    </w:p>
    <w:p/>
    <w:p>
      <w:pPr>
        <w:jc w:val="left"/>
      </w:pPr>
      <w:r>
        <w:rPr>
          <w:sz w:val="22"/>
        </w:rPr>
        <w:t>Hukuki nedenler: TMK m.683 ve devamı (mülkiyet hakkı), TMK m.995 (iyi niyetli olmayan zilyedin tazmin sorumluluğu), HMK ve ilgili mevzuat ile Yargıtay’ın yerleşik içtihatları.</w:t>
      </w:r>
    </w:p>
    <w:p/>
    <w:p>
      <w:pPr>
        <w:jc w:val="left"/>
      </w:pPr>
      <w:r>
        <w:rPr>
          <w:sz w:val="22"/>
        </w:rPr>
        <w:t>Talep: Açıklanan nedenlerle; davalının haksız müdahalesinin önlenmesine (müdahalenin men’i), davaya konu taşınmazın [..../..../20....] – [..../..../20....] tarihleri arasındaki haksız kullanımına karşılık **[........ TL] ecrimisil** bedelinin yasal faiziyle birlikte davalıdan tahsiline;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Deliller: Tapu kayıtları, çap/kroki ve imar dosyası, emsal kira araştırması/ekspertiz, keşif ve bilirkişi incelemesi, tanık beyanları, ihtarname ve her türlü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[Davacı/Malik/Paydaş]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ve taşınmaz bilgi/belgeleri</w:t>
      </w:r>
    </w:p>
    <w:p>
      <w:pPr>
        <w:jc w:val="left"/>
      </w:pPr>
      <w:r>
        <w:rPr>
          <w:sz w:val="22"/>
        </w:rPr>
        <w:t>2) (Varsa) İhtarname ve tebliğ şerhleri</w:t>
      </w:r>
    </w:p>
    <w:p>
      <w:pPr>
        <w:jc w:val="left"/>
      </w:pPr>
      <w:r>
        <w:rPr>
          <w:sz w:val="22"/>
        </w:rPr>
        <w:t>3) Emsal kira/ekspertiz araştırmasına dair belgeler</w:t>
      </w:r>
    </w:p>
    <w:p>
      <w:pPr>
        <w:jc w:val="left"/>
      </w:pPr>
      <w:r>
        <w:rPr>
          <w:sz w:val="22"/>
        </w:rPr>
        <w:t>4) (Varsa) Tanık listesi ve adresleri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