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NÖBETÇİ [SULH/ASLİYE HUKUK/AİLE/İCRA CEZA] MAHKEMESİ HÂKİMLİĞİNE</w:t>
      </w:r>
    </w:p>
    <w:p/>
    <w:p>
      <w:pPr>
        <w:jc w:val="center"/>
      </w:pPr>
      <w:r>
        <w:rPr>
          <w:sz w:val="22"/>
        </w:rPr>
        <w:t>Konu: [Acil niteliğe sahip talebin/başvurunun kısa özeti – ör. ihtiyati tedbir/tespit/tebligat/nafaka tedbiri vb.]</w:t>
      </w:r>
    </w:p>
    <w:p/>
    <w:p>
      <w:pPr>
        <w:jc w:val="left"/>
      </w:pPr>
      <w:r>
        <w:rPr>
          <w:sz w:val="22"/>
        </w:rPr>
        <w:t>Taraflar arasında ortaya çıkan [uyuşmazlığın/olayın] niteliği ve **gecikmesinde sakınca bulunan hâl** nedeniyle, nöbetçi mahkemenizden [ihtiyati tedbir/tespit/tebligat/koruma] mahiyetinde işlem tesisini talep etmek zorunluluğu doğmuştur.</w:t>
      </w:r>
    </w:p>
    <w:p/>
    <w:p>
      <w:pPr>
        <w:jc w:val="left"/>
      </w:pPr>
      <w:r>
        <w:rPr>
          <w:sz w:val="22"/>
        </w:rPr>
        <w:t>Olayın özeti: [tarih/saat], [yer], [taraflar ve olayın kronolojisi], [deliller ve riskler], [gecikmenin doğuracağı telafisi güç zarar].</w:t>
      </w:r>
    </w:p>
    <w:p/>
    <w:p>
      <w:pPr>
        <w:jc w:val="left"/>
      </w:pPr>
      <w:r>
        <w:rPr>
          <w:sz w:val="22"/>
        </w:rPr>
        <w:t>Hukuki nedenler: HMK ve ilgili mevzuat; gecikmesinde sakınca bulunan hâllere ilişkin hükümler ile yerleşik içtihatlar.</w:t>
      </w:r>
    </w:p>
    <w:p/>
    <w:p>
      <w:pPr>
        <w:jc w:val="left"/>
      </w:pPr>
      <w:r>
        <w:rPr>
          <w:sz w:val="22"/>
        </w:rPr>
        <w:t>Talep: Açıklanan nedenlerle; [talep konusu işlem] yönünden **ivedi** karar verilmesine, tebligat ve sair işlemlerin derhâl yapılmasına; yargılama giderleri ve (varsa) vekâlet ücretinin karşı tarafa yükletilmesine karar verilmesini arz ve talep ederim.</w:t>
      </w:r>
    </w:p>
    <w:p/>
    <w:p>
      <w:pPr>
        <w:jc w:val="left"/>
      </w:pPr>
      <w:r>
        <w:rPr>
          <w:sz w:val="22"/>
        </w:rPr>
        <w:t>Deliller: [Tutanak/fotoğraf/video], [yazışmalar], [bilirkişi/tespit], [tanık], [resmî kayıtlar] ve sair yasal delil.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[Başvuran/Davacı/Şikayetçi]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Olay/uyuşmazlığa ilişkin belgeler</w:t>
      </w:r>
    </w:p>
    <w:p>
      <w:pPr>
        <w:jc w:val="left"/>
      </w:pPr>
      <w:r>
        <w:rPr>
          <w:sz w:val="22"/>
        </w:rPr>
        <w:t>2) Görsel/dijital kayıtlar (varsa)</w:t>
      </w:r>
    </w:p>
    <w:p>
      <w:pPr>
        <w:jc w:val="left"/>
      </w:pPr>
      <w:r>
        <w:rPr>
          <w:sz w:val="22"/>
        </w:rPr>
        <w:t>3) Yazışma/tebligat örnekleri</w:t>
      </w:r>
    </w:p>
    <w:p>
      <w:pPr>
        <w:jc w:val="left"/>
      </w:pPr>
      <w:r>
        <w:rPr>
          <w:sz w:val="22"/>
        </w:rPr>
        <w:t>4) (Varsa) Tanık listesi</w:t>
      </w:r>
    </w:p>
    <w:p>
      <w:pPr>
        <w:jc w:val="left"/>
      </w:pPr>
      <w:r>
        <w:rPr>
          <w:sz w:val="22"/>
        </w:rPr>
        <w:t>5)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