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Akaryakıt Sözleşmesi</w:t>
      </w:r>
    </w:p>
    <w:p>
      <w:pPr>
        <w:spacing w:before="0" w:after="50"/>
      </w:pPr>
      <w:r>
        <w:t xml:space="preserve">Sözleşme No: [Sözleşme Numarası]</w:t>
      </w:r>
    </w:p>
    <w:p>
      <w:pPr>
        <w:spacing w:before="0" w:after="50"/>
      </w:pPr>
      <w:r>
        <w:t xml:space="preserve">Sözleşme Tarihi: [Tarih]</w:t>
      </w:r>
    </w:p>
    <w:p>
      <w:pPr>
        <w:spacing w:before="0" w:after="50"/>
      </w:pPr>
      <w:r>
        <w:t xml:space="preserve">Sözleşme Yeri: [Yer]</w:t>
      </w:r>
    </w:p>
    <w:p>
      <w:pPr>
        <w:spacing w:before="180" w:after="80"/>
      </w:pPr>
      <w:r>
        <w:rPr>
          <w:b/>
        </w:rPr>
        <w:t xml:space="preserve">1. Taraflar</w:t>
      </w:r>
    </w:p>
    <w:p>
      <w:pPr>
        <w:spacing w:before="0" w:after="100"/>
      </w:pPr>
      <w:r>
        <w:t xml:space="preserve">İşbu sözleşme, aşağıda bilgileri bulunan Tedarikçi ile Müşteri arasında belirtilen şartlarla düzenlenmiştir.</w:t>
      </w:r>
    </w:p>
    <w:p>
      <w:pPr>
        <w:spacing w:before="180" w:after="80"/>
      </w:pPr>
      <w:r>
        <w:rPr>
          <w:b/>
        </w:rPr>
        <w:t xml:space="preserve">1.1. Tedarikçi Bilgileri</w:t>
      </w:r>
    </w:p>
    <w:p>
      <w:pPr>
        <w:spacing w:before="0" w:after="50"/>
      </w:pPr>
      <w:r>
        <w:t xml:space="preserve">Ticaret Unvanı: [Tedarikçi Ticaret Unvanı]</w:t>
      </w:r>
    </w:p>
    <w:p>
      <w:pPr>
        <w:spacing w:before="0" w:after="50"/>
      </w:pPr>
      <w:r>
        <w:t xml:space="preserve">Vergi Dairesi / Vergi Numarası: [Vergi Dairesi] / [Vergi Numarası]</w:t>
      </w:r>
    </w:p>
    <w:p>
      <w:pPr>
        <w:spacing w:before="0" w:after="50"/>
      </w:pPr>
      <w:r>
        <w:t xml:space="preserve">MERSİS / Ticaret Sicili Numarası: [MERSİS veya Ticaret Sicili Numarası]</w:t>
      </w:r>
    </w:p>
    <w:p>
      <w:pPr>
        <w:spacing w:before="0" w:after="50"/>
      </w:pPr>
      <w:r>
        <w:t xml:space="preserve">Adres: [Tedarikçi Adresi]</w:t>
      </w:r>
    </w:p>
    <w:p>
      <w:pPr>
        <w:spacing w:before="0" w:after="50"/>
      </w:pPr>
      <w:r>
        <w:t xml:space="preserve">Telefon / E-posta: [Telefon Numarası] / [E-posta Adresi]</w:t>
      </w:r>
    </w:p>
    <w:p>
      <w:pPr>
        <w:spacing w:before="0" w:after="50"/>
      </w:pPr>
      <w:r>
        <w:t xml:space="preserve">Yetkili Kişi ve Unvanı: [Ad Soyad] / [Unvan]</w:t>
      </w:r>
    </w:p>
    <w:p>
      <w:pPr>
        <w:spacing w:before="180" w:after="80"/>
      </w:pPr>
      <w:r>
        <w:rPr>
          <w:b/>
        </w:rPr>
        <w:t xml:space="preserve">1.2. Müşteri Bilgileri</w:t>
      </w:r>
    </w:p>
    <w:p>
      <w:pPr>
        <w:spacing w:before="0" w:after="50"/>
      </w:pPr>
      <w:r>
        <w:t xml:space="preserve">Adı Soyadı / Ticaret Unvanı: [Müşteri Adı Soyadı veya Ticaret Unvanı]</w:t>
      </w:r>
    </w:p>
    <w:p>
      <w:pPr>
        <w:spacing w:before="0" w:after="50"/>
      </w:pPr>
      <w:r>
        <w:t xml:space="preserve">T.C. Kimlik Numarası / Vergi Numarası: [T.C. Kimlik Numarası veya Vergi Numarası]</w:t>
      </w:r>
    </w:p>
    <w:p>
      <w:pPr>
        <w:spacing w:before="0" w:after="50"/>
      </w:pPr>
      <w:r>
        <w:t xml:space="preserve">Vergi Dairesi: [Vergi Dairesi]</w:t>
      </w:r>
    </w:p>
    <w:p>
      <w:pPr>
        <w:spacing w:before="0" w:after="50"/>
      </w:pPr>
      <w:r>
        <w:t xml:space="preserve">MERSİS / Ticaret Sicili Numarası: [MERSİS veya Ticaret Sicili Numarası]</w:t>
      </w:r>
    </w:p>
    <w:p>
      <w:pPr>
        <w:spacing w:before="0" w:after="50"/>
      </w:pPr>
      <w:r>
        <w:t xml:space="preserve">Adres: [Müşteri Adresi]</w:t>
      </w:r>
    </w:p>
    <w:p>
      <w:pPr>
        <w:spacing w:before="0" w:after="50"/>
      </w:pPr>
      <w:r>
        <w:t xml:space="preserve">Telefon / E-posta: [Telefon Numarası] / [E-posta Adresi]</w:t>
      </w:r>
    </w:p>
    <w:p>
      <w:pPr>
        <w:spacing w:before="0" w:after="50"/>
      </w:pPr>
      <w:r>
        <w:t xml:space="preserve">Yetkili Kişi ve Unvanı: [Ad Soyad] / [Unvan]</w:t>
      </w:r>
    </w:p>
    <w:p>
      <w:pPr>
        <w:spacing w:before="0" w:after="100"/>
      </w:pPr>
      <w:r>
        <w:t xml:space="preserve">Tedarikçi ve Müşteri bundan sonra ayrı ayrı “Taraf”, birlikte “Taraflar” olarak anılacaktır.</w:t>
      </w:r>
    </w:p>
    <w:p>
      <w:pPr>
        <w:spacing w:before="180" w:after="80"/>
      </w:pPr>
      <w:r>
        <w:rPr>
          <w:b/>
        </w:rPr>
        <w:t xml:space="preserve">2. Sözleşmenin Konusu</w:t>
      </w:r>
    </w:p>
    <w:p>
      <w:pPr>
        <w:spacing w:before="0" w:after="100"/>
      </w:pPr>
      <w:r>
        <w:t xml:space="preserve">İşbu sözleşmenin konusu; Tedarikçi tarafından Müşteri’ye [Akaryakıt Türü veya Türleri] tedarik edilmesine, ürünlerin [Teslimat Yöntemi] yöntemiyle teslimine ve bu kapsamda uygulanacak fiyat, ödeme, kalite, kayıt, kontrol ve diğer çalışma koşullarına ilişkin hak ve yükümlülüklerin belirlenmesidir.</w:t>
      </w:r>
    </w:p>
    <w:p>
      <w:pPr>
        <w:spacing w:before="180" w:after="80"/>
      </w:pPr>
      <w:r>
        <w:rPr>
          <w:b/>
        </w:rPr>
        <w:t xml:space="preserve">3. Ürün ve Tedarik Bilgileri</w:t>
      </w:r>
    </w:p>
    <w:p>
      <w:pPr>
        <w:spacing w:before="0" w:after="50"/>
      </w:pPr>
      <w:r>
        <w:t xml:space="preserve">Akaryakıt Türü veya Türleri: [Benzin / Motorin / LPG / Diğer]</w:t>
      </w:r>
    </w:p>
    <w:p>
      <w:pPr>
        <w:spacing w:before="0" w:after="50"/>
      </w:pPr>
      <w:r>
        <w:t xml:space="preserve">Tahmini Alım Miktarı: [Miktar ve Birim]</w:t>
      </w:r>
    </w:p>
    <w:p>
      <w:pPr>
        <w:spacing w:before="0" w:after="50"/>
      </w:pPr>
      <w:r>
        <w:t xml:space="preserve">Tedarik Dönemi: [Günlük / Haftalık / Aylık / Diğer]</w:t>
      </w:r>
    </w:p>
    <w:p>
      <w:pPr>
        <w:spacing w:before="0" w:after="50"/>
      </w:pPr>
      <w:r>
        <w:t xml:space="preserve">Teslimat Yöntemi: [İstasyondan Alım / Depoya Teslim / Taşıt Tanıma Sistemi / Akaryakıt Kartı / Diğer]</w:t>
      </w:r>
    </w:p>
    <w:p>
      <w:pPr>
        <w:spacing w:before="0" w:after="50"/>
      </w:pPr>
      <w:r>
        <w:t xml:space="preserve">Teslimat Yeri veya İstasyonlar: [Teslimat Adresi veya İstasyon Listesi]</w:t>
      </w:r>
    </w:p>
    <w:p>
      <w:pPr>
        <w:spacing w:before="0" w:after="100"/>
      </w:pPr>
      <w:r>
        <w:t xml:space="preserve">Tahmini alım miktarı, ayrıca açıkça asgari alım taahhüdü kararlaştırılmadıkça Müşteri bakımından kesin alım garantisi oluşturmaz. Tarafların asgari alım taahhüdü konusundaki anlaşması şöyledir: [Asgari Alım Taahhüdü Var / Yok ve Varsa Ayrıntıları].</w:t>
      </w:r>
    </w:p>
    <w:p>
      <w:pPr>
        <w:spacing w:before="180" w:after="80"/>
      </w:pPr>
      <w:r>
        <w:rPr>
          <w:b/>
        </w:rPr>
        <w:t xml:space="preserve">4. Sipariş ve Teslimat</w:t>
      </w:r>
    </w:p>
    <w:p>
      <w:pPr>
        <w:spacing w:before="0" w:after="100"/>
      </w:pPr>
      <w:r>
        <w:t xml:space="preserve">• Siparişler [Sipariş Kanalı] üzerinden, teslimat talep edilen tarihten en az [Süre] önce Tedarikçi’ye iletilir.</w:t>
      </w:r>
    </w:p>
    <w:p>
      <w:pPr>
        <w:spacing w:before="0" w:after="100"/>
      </w:pPr>
      <w:r>
        <w:t xml:space="preserve">• Siparişte ürün türü, miktarı, teslimat yeri, talep edilen tarih ve teslim almaya yetkili kişi bilgileri belirtilir.</w:t>
      </w:r>
    </w:p>
    <w:p>
      <w:pPr>
        <w:spacing w:before="0" w:after="100"/>
      </w:pPr>
      <w:r>
        <w:t xml:space="preserve">• Tedarikçi, siparişin alınmasından sonra stok ve sevkiyat durumuna göre teslimat tarihini Müşteri’ye bildirir.</w:t>
      </w:r>
    </w:p>
    <w:p>
      <w:pPr>
        <w:spacing w:before="0" w:after="100"/>
      </w:pPr>
      <w:r>
        <w:t xml:space="preserve">• Teslim edilen miktar; [Sayaç Kaydı / İrsaliye / Otomasyon Kaydı / Tank Ölçümü / Diğer Yöntem] esas alınarak belirlenir.</w:t>
      </w:r>
    </w:p>
    <w:p>
      <w:pPr>
        <w:spacing w:before="0" w:after="100"/>
      </w:pPr>
      <w:r>
        <w:t xml:space="preserve">• Teslimat sırasında düzenlenen fiş, irsaliye, elektronik kayıt veya teslim belgesi Müşteri ya da yetkili temsilcisi tarafından kontrol edilir.</w:t>
      </w:r>
    </w:p>
    <w:p>
      <w:pPr>
        <w:spacing w:before="0" w:after="100"/>
      </w:pPr>
      <w:r>
        <w:t xml:space="preserve">Teslimatın Tedarikçi tarafından Müşteri’nin deposuna yapılması hâlinde boşaltma alanının güvenli, ulaşılabilir ve teslimata uygun durumda bulundurulması Müşteri’nin sorumluluğundadır. Teslimat sırasında Taraflar kendi personeli ve faaliyet alanları bakımından gerekli güvenlik önlemlerini alır.</w:t>
      </w:r>
    </w:p>
    <w:p>
      <w:pPr>
        <w:spacing w:before="180" w:after="80"/>
      </w:pPr>
      <w:r>
        <w:rPr>
          <w:b/>
        </w:rPr>
        <w:t xml:space="preserve">5. Taşıt Tanıma Sistemi veya Akaryakıt Kartı Kullanımı</w:t>
      </w:r>
    </w:p>
    <w:p>
      <w:pPr>
        <w:spacing w:before="0" w:after="100"/>
      </w:pPr>
      <w:r>
        <w:t xml:space="preserve">Tedarikin taşıt tanıma sistemi, cihaz, etiket veya akaryakıt kartı aracılığıyla yapılması hâlinde kullanılacak araçların plaka ve ürün bilgileri Ek-1’de gösterilir. Müşteri, kullanım yetkilerini yalnızca bildirdiği araç ve kişilerle sınırlandırır.</w:t>
      </w:r>
    </w:p>
    <w:p>
      <w:pPr>
        <w:spacing w:before="0" w:after="100"/>
      </w:pPr>
      <w:r>
        <w:t xml:space="preserve">• Araç ekleme, araç çıkarma, limit değiştirme ve ürün kısıtlama talepleri [Bildirim Kanalı] üzerinden yapılır.</w:t>
      </w:r>
    </w:p>
    <w:p>
      <w:pPr>
        <w:spacing w:before="0" w:after="100"/>
      </w:pPr>
      <w:r>
        <w:t xml:space="preserve">• Araç veya kart başına uygulanacak günlük, haftalık ya da aylık limit: [Limit Bilgisi].</w:t>
      </w:r>
    </w:p>
    <w:p>
      <w:pPr>
        <w:spacing w:before="0" w:after="100"/>
      </w:pPr>
      <w:r>
        <w:t xml:space="preserve">• Kart, cihaz veya etiketin kaybolması, çalınması ya da yetkisiz kullanım şüphesi doğması hâlinde Müşteri durumu derhâl Tedarikçi’ye bildirir.</w:t>
      </w:r>
    </w:p>
    <w:p>
      <w:pPr>
        <w:spacing w:before="0" w:after="100"/>
      </w:pPr>
      <w:r>
        <w:t xml:space="preserve">• Bildirimin Tedarikçi kayıtlarına ulaşmasından sonra sistemin kapatılması için uygulanacak işlem süresi: [Süre].</w:t>
      </w:r>
    </w:p>
    <w:p>
      <w:pPr>
        <w:spacing w:before="0" w:after="100"/>
      </w:pPr>
      <w:r>
        <w:t xml:space="preserve">Kart, cihaz veya sistem kurulumu için ücret ya da depozito uygulanıp uygulanmayacağı ve iade koşulları şöyledir: [Ücret, Depozito ve İade Koşulları].</w:t>
      </w:r>
    </w:p>
    <w:p>
      <w:pPr>
        <w:spacing w:before="180" w:after="80"/>
      </w:pPr>
      <w:r>
        <w:rPr>
          <w:b/>
        </w:rPr>
        <w:t xml:space="preserve">6. Fiyatlandırma</w:t>
      </w:r>
    </w:p>
    <w:p>
      <w:pPr>
        <w:spacing w:before="0" w:after="100"/>
      </w:pPr>
      <w:r>
        <w:t xml:space="preserve">Ürün bedeli, teslimat veya alım anında geçerli olan [Fiyatlandırma Esası] üzerinden hesaplanır. Tarafların kararlaştırdığı indirim, hizmet bedeli, nakliye bedeli ve diğer fiyat unsurları aşağıda belirtilmiştir.</w:t>
      </w:r>
    </w:p>
    <w:p>
      <w:pPr>
        <w:spacing w:before="0" w:after="50"/>
      </w:pPr>
      <w:r>
        <w:t xml:space="preserve">Birim Fiyat veya Fiyat Belirleme Yöntemi: [Birim Fiyat / Fiyat Formülü]</w:t>
      </w:r>
    </w:p>
    <w:p>
      <w:pPr>
        <w:spacing w:before="0" w:after="50"/>
      </w:pPr>
      <w:r>
        <w:t xml:space="preserve">İndirim Oranı veya Tutarı: [İndirim Oranı veya Tutarı]</w:t>
      </w:r>
    </w:p>
    <w:p>
      <w:pPr>
        <w:spacing w:before="0" w:after="50"/>
      </w:pPr>
      <w:r>
        <w:t xml:space="preserve">Nakliye ve Teslimat Bedeli: [Bedel / Fiyata Dâhil]</w:t>
      </w:r>
    </w:p>
    <w:p>
      <w:pPr>
        <w:spacing w:before="0" w:after="50"/>
      </w:pPr>
      <w:r>
        <w:t xml:space="preserve">Diğer Ücretler: [Diğer Ücretler veya Yoktur]</w:t>
      </w:r>
    </w:p>
    <w:p>
      <w:pPr>
        <w:spacing w:before="0" w:after="100"/>
      </w:pPr>
      <w:r>
        <w:t xml:space="preserve">Vergi, resim, harç ve fiyat unsurlarında meydana gelen değişikliklerin sözleşme bedeline yansıtılma yöntemi şöyledir: [Fiyata Yansıtma Yöntemi]. Fiyat değişiklikleri Müşteri’ye [Bildirim Yöntemi] ile bildirilir.</w:t>
      </w:r>
    </w:p>
    <w:p>
      <w:pPr>
        <w:spacing w:before="180" w:after="80"/>
      </w:pPr>
      <w:r>
        <w:rPr>
          <w:b/>
        </w:rPr>
        <w:t xml:space="preserve">7. Faturalandırma ve Ödeme</w:t>
      </w:r>
    </w:p>
    <w:p>
      <w:pPr>
        <w:spacing w:before="0" w:after="50"/>
      </w:pPr>
      <w:r>
        <w:t xml:space="preserve">Fatura Dönemi: [Günlük / Haftalık / Aylık / Teslimat Bazında]</w:t>
      </w:r>
    </w:p>
    <w:p>
      <w:pPr>
        <w:spacing w:before="0" w:after="50"/>
      </w:pPr>
      <w:r>
        <w:t xml:space="preserve">Ödeme Vadesi: [Vade]</w:t>
      </w:r>
    </w:p>
    <w:p>
      <w:pPr>
        <w:spacing w:before="0" w:after="50"/>
      </w:pPr>
      <w:r>
        <w:t xml:space="preserve">Ödeme Yöntemi: [Banka Havalesi / Otomatik Tahsilat / Kredi Kartı / Diğer]</w:t>
      </w:r>
    </w:p>
    <w:p>
      <w:pPr>
        <w:spacing w:before="0" w:after="50"/>
      </w:pPr>
      <w:r>
        <w:t xml:space="preserve">Banka ve IBAN Bilgisi: [Banka Adı ve IBAN]</w:t>
      </w:r>
    </w:p>
    <w:p>
      <w:pPr>
        <w:spacing w:before="0" w:after="100"/>
      </w:pPr>
      <w:r>
        <w:t xml:space="preserve">Faturalar [Elektronik Fatura / Elektronik Arşiv Fatura / Diğer] yöntemiyle [Fatura Gönderim Adresi] adresine gönderilir. Müşteri, fatura ve işlem kayıtlarına ilişkin itirazlarını faturanın kendisine ulaşmasından itibaren [İtiraz Süresi] içinde dayanaklarıyla birlikte Tedarikçi’ye bildirir.</w:t>
      </w:r>
    </w:p>
    <w:p>
      <w:pPr>
        <w:spacing w:before="0" w:after="100"/>
      </w:pPr>
      <w:r>
        <w:t xml:space="preserve">Ödemenin vadesinde yapılmaması hâlinde uygulanacak gecikme koşulu: [Gecikme Bedeli veya Uygulanacak Yöntem]. Tedarikçi, vadesi geçmiş borcun [Süre] içinde ödenmemesi durumunda yeni teslimatları veya sistem kullanımını, Müşteri’ye bildirimde bulunarak geçici olarak durdurabilir.</w:t>
      </w:r>
    </w:p>
    <w:p>
      <w:pPr>
        <w:spacing w:before="180" w:after="80"/>
      </w:pPr>
      <w:r>
        <w:rPr>
          <w:b/>
        </w:rPr>
        <w:t xml:space="preserve">8. Teminat</w:t>
      </w:r>
    </w:p>
    <w:p>
      <w:pPr>
        <w:spacing w:before="0" w:after="100"/>
      </w:pPr>
      <w:r>
        <w:t xml:space="preserve">Müşteri’nin ödeme yükümlülükleri için teminat istenip istenmeyeceği ve teminat koşulları şöyledir: [Teminat Yoktur / Teminat Türü, Tutarı, Süresi ve İade Koşulları]. Teminatın yenilenmesini gerektiren hâller: [Yenileme Koşulları].</w:t>
      </w:r>
    </w:p>
    <w:p>
      <w:pPr>
        <w:spacing w:before="180" w:after="80"/>
      </w:pPr>
      <w:r>
        <w:rPr>
          <w:b/>
        </w:rPr>
        <w:t xml:space="preserve">9. Ürün Kalitesi ve Kontrol</w:t>
      </w:r>
    </w:p>
    <w:p>
      <w:pPr>
        <w:spacing w:before="0" w:after="100"/>
      </w:pPr>
      <w:r>
        <w:t xml:space="preserve">Tedarikçi, teslim ettiği akaryakıtın ilgili kalite ve teknik koşullara uygun olmasını sağlar. Müşteri, teslim sırasında gözle görülebilen eksiklik veya uygunsuzlukları teslim belgesine kaydeder ve Tedarikçi’ye bildirir.</w:t>
      </w:r>
    </w:p>
    <w:p>
      <w:pPr>
        <w:spacing w:before="0" w:after="100"/>
      </w:pPr>
      <w:r>
        <w:t xml:space="preserve">Ürünün kalitesine ilişkin uyuşmazlık doğması hâlinde Taraflar, mümkünse teslim edilen üründen usulüne uygun şekilde numune alınmasını ve incelemenin [Mutabık Kalınan Yetkili Laboratuvar veya Kuruluş] tarafından yapılmasını sağlar. Numune alma, inceleme ve giderlerin paylaşım yöntemi: [Yöntem ve Gider Paylaşımı].</w:t>
      </w:r>
    </w:p>
    <w:p>
      <w:pPr>
        <w:spacing w:before="180" w:after="80"/>
      </w:pPr>
      <w:r>
        <w:rPr>
          <w:b/>
        </w:rPr>
        <w:t xml:space="preserve">10. Tedarikçi’nin Yükümlülükleri</w:t>
      </w:r>
    </w:p>
    <w:p>
      <w:pPr>
        <w:spacing w:before="0" w:after="100"/>
      </w:pPr>
      <w:r>
        <w:t xml:space="preserve">• Siparişleri sözleşmede belirlenen teslimat yöntemi ve süreler çerçevesinde karşılamak.</w:t>
      </w:r>
    </w:p>
    <w:p>
      <w:pPr>
        <w:spacing w:before="0" w:after="100"/>
      </w:pPr>
      <w:r>
        <w:t xml:space="preserve">• Teslimat, satış ve faturalandırma kayıtlarını düzenli biçimde tutmak ve talep hâlinde Müşteri’ye ilgili işlem dökümlerini sunmak.</w:t>
      </w:r>
    </w:p>
    <w:p>
      <w:pPr>
        <w:spacing w:before="0" w:after="100"/>
      </w:pPr>
      <w:r>
        <w:t xml:space="preserve">• Ürünlerin depolanması, taşınması ve teslimi sırasında gerekli teknik ve güvenlik önlemlerini almak.</w:t>
      </w:r>
    </w:p>
    <w:p>
      <w:pPr>
        <w:spacing w:before="0" w:after="100"/>
      </w:pPr>
      <w:r>
        <w:t xml:space="preserve">• Fiyat, istasyon ağı veya hizmet koşullarında meydana gelen önemli değişiklikleri kararlaştırılan bildirim yöntemiyle Müşteri’ye iletmek.</w:t>
      </w:r>
    </w:p>
    <w:p>
      <w:pPr>
        <w:spacing w:before="0" w:after="100"/>
      </w:pPr>
      <w:r>
        <w:t xml:space="preserve">• Sistem arızası veya hizmet kesintisi hâlinde Müşteri’yi bilgilendirmek ve makul sürede çözüm sağlamak için gerekli çalışmaları yürütmek.</w:t>
      </w:r>
    </w:p>
    <w:p>
      <w:pPr>
        <w:spacing w:before="180" w:after="80"/>
      </w:pPr>
      <w:r>
        <w:rPr>
          <w:b/>
        </w:rPr>
        <w:t xml:space="preserve">11. Müşteri’nin Yükümlülükleri</w:t>
      </w:r>
    </w:p>
    <w:p>
      <w:pPr>
        <w:spacing w:before="0" w:after="100"/>
      </w:pPr>
      <w:r>
        <w:t xml:space="preserve">• Teslim aldığı ürünlerin bedelini kararlaştırılan vadede ve eksiksiz olarak ödemek.</w:t>
      </w:r>
    </w:p>
    <w:p>
      <w:pPr>
        <w:spacing w:before="0" w:after="100"/>
      </w:pPr>
      <w:r>
        <w:t xml:space="preserve">• Sipariş, araç, plaka, kart kullanıcısı, teslimat noktası ve yetkili kişi bilgilerinin doğru ve güncel olmasını sağlamak.</w:t>
      </w:r>
    </w:p>
    <w:p>
      <w:pPr>
        <w:spacing w:before="0" w:after="100"/>
      </w:pPr>
      <w:r>
        <w:t xml:space="preserve">• Teslimat alanı, depo, tank ve bağlantı ekipmanlarını güvenli ve kullanıma uygun durumda bulundurmak.</w:t>
      </w:r>
    </w:p>
    <w:p>
      <w:pPr>
        <w:spacing w:before="0" w:after="100"/>
      </w:pPr>
      <w:r>
        <w:t xml:space="preserve">• Akaryakıt kartı, taşıt tanıma cihazı, kullanıcı bilgileri ve şifrelerin korunması için gerekli önlemleri almak.</w:t>
      </w:r>
    </w:p>
    <w:p>
      <w:pPr>
        <w:spacing w:before="0" w:after="100"/>
      </w:pPr>
      <w:r>
        <w:t xml:space="preserve">• Kaçak, dökülme, arıza, yanlış ürün teslimi veya yetkisiz kullanım şüphesini gecikmeden Tedarikçi’ye bildirmek.</w:t>
      </w:r>
    </w:p>
    <w:p>
      <w:pPr>
        <w:spacing w:before="0" w:after="100"/>
      </w:pPr>
      <w:r>
        <w:t xml:space="preserve">• Teslim edilen ürünleri amacı dışında kullanmamak ve Tedarikçi’nin yazılı onayı bulunmadıkça üçüncü kişilere devretmemek veya yeniden satmamak.</w:t>
      </w:r>
    </w:p>
    <w:p>
      <w:pPr>
        <w:spacing w:before="180" w:after="80"/>
      </w:pPr>
      <w:r>
        <w:rPr>
          <w:b/>
        </w:rPr>
        <w:t xml:space="preserve">12. Kayıtların Mutabakatı</w:t>
      </w:r>
    </w:p>
    <w:p>
      <w:pPr>
        <w:spacing w:before="0" w:after="100"/>
      </w:pPr>
      <w:r>
        <w:t xml:space="preserve">İstasyon otomasyon kayıtları, cihaz veya kart işlem dökümleri, sevk irsaliyeleri, teslim fişleri, sayaç kayıtları ve faturalar dönemsel mutabakatın temelini oluşturur. Taraflar, [Mutabakat Dönemi] sonunda işlem ve bakiye mutabakatı yapar. Kayıtlar arasında farklılık bulunması hâlinde dayanak belgeler birlikte incelenir.</w:t>
      </w:r>
    </w:p>
    <w:p>
      <w:pPr>
        <w:spacing w:before="180" w:after="80"/>
      </w:pPr>
      <w:r>
        <w:rPr>
          <w:b/>
        </w:rPr>
        <w:t xml:space="preserve">13. Sözleşmenin Süresi ve Yenilenmesi</w:t>
      </w:r>
    </w:p>
    <w:p>
      <w:pPr>
        <w:spacing w:before="0" w:after="50"/>
      </w:pPr>
      <w:r>
        <w:t xml:space="preserve">Başlangıç Tarihi: [Başlangıç Tarihi]</w:t>
      </w:r>
    </w:p>
    <w:p>
      <w:pPr>
        <w:spacing w:before="0" w:after="50"/>
      </w:pPr>
      <w:r>
        <w:t xml:space="preserve">Bitiş Tarihi: [Bitiş Tarihi]</w:t>
      </w:r>
    </w:p>
    <w:p>
      <w:pPr>
        <w:spacing w:before="0" w:after="50"/>
      </w:pPr>
      <w:r>
        <w:t xml:space="preserve">Sözleşme Süresi: [Süre]</w:t>
      </w:r>
    </w:p>
    <w:p>
      <w:pPr>
        <w:spacing w:before="0" w:after="100"/>
      </w:pPr>
      <w:r>
        <w:t xml:space="preserve">Sözleşmenin süre sonunda kendiliğinden sona erip ermeyeceği veya yenilenip yenilenmeyeceği şu şekilde kararlaştırılmıştır: [Sona Erme veya Yenilenme Koşulu]. Yenilememe bildirimi için öngörülen süre [Bildirim Süresi] olup bildirim [Bildirim Yöntemi] ile yapılır.</w:t>
      </w:r>
    </w:p>
    <w:p>
      <w:pPr>
        <w:spacing w:before="180" w:after="80"/>
      </w:pPr>
      <w:r>
        <w:rPr>
          <w:b/>
        </w:rPr>
        <w:t xml:space="preserve">14. Fesih</w:t>
      </w:r>
    </w:p>
    <w:p>
      <w:pPr>
        <w:spacing w:before="0" w:after="100"/>
      </w:pPr>
      <w:r>
        <w:t xml:space="preserve">Taraflardan biri sözleşmeden doğan esaslı yükümlülüklerinden birini yerine getirmezse diğer Taraf, ihlalin giderilmesi için [Süre] süre veren yazılı bir bildirimde bulunabilir. Bu süre içinde ihlalin giderilmemesi hâlinde sözleşme yazılı bildirimle sona erdirilebilir.</w:t>
      </w:r>
    </w:p>
    <w:p>
      <w:pPr>
        <w:spacing w:before="0" w:after="100"/>
      </w:pPr>
      <w:r>
        <w:t xml:space="preserve">Tarafların haklı nedenle derhâl fesih sayılmasını kararlaştırdığı özel durumlar şunlardır: [Derhâl Fesih Nedenleri]. Sebep göstermeksizin fesih hakkı tanınmışsa uygulanacak bildirim süresi ve koşullar şöyledir: [Bildirim Süresi ve Fesih Koşulları].</w:t>
      </w:r>
    </w:p>
    <w:p>
      <w:pPr>
        <w:spacing w:before="0" w:after="100"/>
      </w:pPr>
      <w:r>
        <w:t xml:space="preserve">Sözleşmenin sona ermesi, sona erme tarihine kadar doğmuş borçları ortadan kaldırmaz. Müşteri, kendisine teslim edilen kart, cihaz ve diğer ekipmanları [İade Süresi] içinde, olağan kullanımdan kaynaklanan yıpranmalar hariç olmak üzere, teslim aldığı duruma uygun şekilde iade eder.</w:t>
      </w:r>
    </w:p>
    <w:p>
      <w:pPr>
        <w:spacing w:before="180" w:after="80"/>
      </w:pPr>
      <w:r>
        <w:rPr>
          <w:b/>
        </w:rPr>
        <w:t xml:space="preserve">15. Cezai Şart ve Zararların Karşılanması</w:t>
      </w:r>
    </w:p>
    <w:p>
      <w:pPr>
        <w:spacing w:before="0" w:after="100"/>
      </w:pPr>
      <w:r>
        <w:t xml:space="preserve">Tarafların cezai şart konusundaki anlaşması şöyledir: [Cezai Şart Yoktur / Cezai Şartın Uygulanacağı Durumlar ve Tutarı]. Taraflardan birinin sözleşmeye aykırı davranışı nedeniyle diğer Tarafın doğrudan zarara uğraması hâlinde sorumluluğun kapsamı [Sorumluluk Koşulları] esas alınarak belirlenir.</w:t>
      </w:r>
    </w:p>
    <w:p>
      <w:pPr>
        <w:spacing w:before="180" w:after="80"/>
      </w:pPr>
      <w:r>
        <w:rPr>
          <w:b/>
        </w:rPr>
        <w:t xml:space="preserve">16. Mücbir Sebep</w:t>
      </w:r>
    </w:p>
    <w:p>
      <w:pPr>
        <w:spacing w:before="0" w:after="100"/>
      </w:pPr>
      <w:r>
        <w:t xml:space="preserve">Tarafların kontrolü dışında meydana gelen ve sözleşme yükümlülüklerinin yerine getirilmesini geçici veya sürekli olarak engelleyen olaylar mücbir sebep olarak değerlendirilir. Etkilenen Taraf, durumu ve tahmini etkisini mümkün olan en kısa sürede diğer Tarafa bildirir ve etkileri azaltmak için makul önlemleri alır.</w:t>
      </w:r>
    </w:p>
    <w:p>
      <w:pPr>
        <w:spacing w:before="0" w:after="100"/>
      </w:pPr>
      <w:r>
        <w:t xml:space="preserve">Mücbir sebebin [Süre] boyunca kesintisiz devam etmesi hâlinde Taraflardan her biri sözleşmeyi yazılı bildirimle sona erdirebilir. Bu durumda olaydan önce doğmuş ödeme ve teslim yükümlülükleri saklıdır.</w:t>
      </w:r>
    </w:p>
    <w:p>
      <w:pPr>
        <w:spacing w:before="180" w:after="80"/>
      </w:pPr>
      <w:r>
        <w:rPr>
          <w:b/>
        </w:rPr>
        <w:t xml:space="preserve">17. Gizlilik ve Bilgilerin Korunması</w:t>
      </w:r>
    </w:p>
    <w:p>
      <w:pPr>
        <w:spacing w:before="0" w:after="100"/>
      </w:pPr>
      <w:r>
        <w:t xml:space="preserve">Taraflar; fiyat, iskonto, araç, tüketim, müşteri, ticari yöntem ve benzeri gizli nitelikteki bilgileri yalnızca sözleşmenin yürütülmesi amacıyla kullanır. Bu bilgiler, zorunlu açıklamalar ve hizmetin yürütülmesi için bilgi verilmesi gereken kişiler dışında, diğer Tarafın yazılı onayı olmadan üçüncü kişilere açıklanmaz.</w:t>
      </w:r>
    </w:p>
    <w:p>
      <w:pPr>
        <w:spacing w:before="0" w:after="100"/>
      </w:pPr>
      <w:r>
        <w:t xml:space="preserve">Taraflar, sözleşmenin yürütülmesi sırasında elde ettikleri kişisel ve ticari bilgilerin güvenliğini sağlamak için uygun idari ve teknik önlemleri alır. Gizlilik yükümlülüğünün sözleşme sona erdikten sonraki devam süresi: [Süre].</w:t>
      </w:r>
    </w:p>
    <w:p>
      <w:pPr>
        <w:spacing w:before="180" w:after="80"/>
      </w:pPr>
      <w:r>
        <w:rPr>
          <w:b/>
        </w:rPr>
        <w:t xml:space="preserve">18. Bildirimler</w:t>
      </w:r>
    </w:p>
    <w:p>
      <w:pPr>
        <w:spacing w:before="0" w:after="100"/>
      </w:pPr>
      <w:r>
        <w:t xml:space="preserve">Tarafların bu sözleşmede belirtilen adresleri bildirim adresidir. Adres, telefon, e-posta veya yetkili kişi değişiklikleri [Bildirim Süresi] içinde diğer Tarafa bildirilir. Günlük operasyonel bildirimler [E-posta / Sistem / Telefon] üzerinden; fesih, temerrüt ve esaslı sözleşme değişikliği bildirimleri ise [Yazılı Bildirim Yöntemi] ile yapılır.</w:t>
      </w:r>
    </w:p>
    <w:p>
      <w:pPr>
        <w:spacing w:before="180" w:after="80"/>
      </w:pPr>
      <w:r>
        <w:rPr>
          <w:b/>
        </w:rPr>
        <w:t xml:space="preserve">19. Devir ve Alt Yüklenici Kullanımı</w:t>
      </w:r>
    </w:p>
    <w:p>
      <w:pPr>
        <w:spacing w:before="0" w:after="100"/>
      </w:pPr>
      <w:r>
        <w:t xml:space="preserve">Taraflardan hiçbiri, diğer Tarafın yazılı onayı olmadan sözleşmeden doğan hak ve yükümlülüklerini kısmen veya tamamen üçüncü kişilere devredemez. Tedarikçi’nin taşıma veya teknik hizmetlerde alt yüklenici kullanmasına ilişkin koşullar: [Alt Yüklenici Kullanım Koşulları].</w:t>
      </w:r>
    </w:p>
    <w:p>
      <w:pPr>
        <w:spacing w:before="180" w:after="80"/>
      </w:pPr>
      <w:r>
        <w:rPr>
          <w:b/>
        </w:rPr>
        <w:t xml:space="preserve">20. Sözleşme Değişiklikleri</w:t>
      </w:r>
    </w:p>
    <w:p>
      <w:pPr>
        <w:spacing w:before="0" w:after="100"/>
      </w:pPr>
      <w:r>
        <w:t xml:space="preserve">Bu sözleşmede yapılacak değişiklikler, Tarafların yetkili temsilcilerince yazılı olarak kabul edilmesi hâlinde geçerli olur. Ekler ve sonradan imzalanan yazılı değişiklik protokolleri sözleşmenin ayrılmaz parçasıdır.</w:t>
      </w:r>
    </w:p>
    <w:p>
      <w:pPr>
        <w:spacing w:before="180" w:after="80"/>
      </w:pPr>
      <w:r>
        <w:rPr>
          <w:b/>
        </w:rPr>
        <w:t xml:space="preserve">21. Uyuşmazlıkların Çözümü</w:t>
      </w:r>
    </w:p>
    <w:p>
      <w:pPr>
        <w:spacing w:before="0" w:after="100"/>
      </w:pPr>
      <w:r>
        <w:t xml:space="preserve">Taraflar, sözleşmenin uygulanmasından doğabilecek uyuşmazlıkları öncelikle görüşme ve mutabakat yoluyla çözmeye çalışır. Çözülemeyen uyuşmazlıklarda [Yetkili Mahkeme, İcra Dairesi veya Kararlaştırılan Çözüm Yöntemi] yetkilidir.</w:t>
      </w:r>
    </w:p>
    <w:p>
      <w:pPr>
        <w:spacing w:before="180" w:after="80"/>
      </w:pPr>
      <w:r>
        <w:rPr>
          <w:b/>
        </w:rPr>
        <w:t xml:space="preserve">22. Yürürlük</w:t>
      </w:r>
    </w:p>
    <w:p>
      <w:pPr>
        <w:spacing w:before="0" w:after="100"/>
      </w:pPr>
      <w:r>
        <w:t xml:space="preserve">İşbu sözleşme, [Sayfa Sayısı] sayfa ve [Nüsha Sayısı] nüsha olarak düzenlenmiş; Taraflarca okunarak [Yürürlük Tarihi] tarihinde imzalanmış ve yürürlüğe girmiştir.</w:t>
      </w:r>
    </w:p>
    <w:p>
      <w:pPr>
        <w:spacing w:before="180" w:after="80"/>
      </w:pPr>
      <w:r>
        <w:rPr>
          <w:b/>
        </w:rPr>
        <w:t xml:space="preserve">Ekler</w:t>
      </w:r>
    </w:p>
    <w:p>
      <w:pPr>
        <w:spacing w:before="0" w:after="100"/>
      </w:pPr>
      <w:r>
        <w:t xml:space="preserve">• Ek-1: Araç, Plaka, Akaryakıt Türü ve Limit Listesi</w:t>
      </w:r>
    </w:p>
    <w:p>
      <w:pPr>
        <w:spacing w:before="0" w:after="100"/>
      </w:pPr>
      <w:r>
        <w:t xml:space="preserve">• Ek-2: Teslimat Noktaları veya Anlaşmalı İstasyonlar Listesi</w:t>
      </w:r>
    </w:p>
    <w:p>
      <w:pPr>
        <w:spacing w:before="0" w:after="100"/>
      </w:pPr>
      <w:r>
        <w:t xml:space="preserve">• Ek-3: Fiyatlandırma, İndirim ve Ödeme Koşulları Tablosu</w:t>
      </w:r>
    </w:p>
    <w:p>
      <w:pPr>
        <w:spacing w:before="0" w:after="100"/>
      </w:pPr>
      <w:r>
        <w:t xml:space="preserve">• Ek-4: Yetkili Kişiler ve İletişim Bilgileri</w:t>
      </w:r>
    </w:p>
    <w:p>
      <w:pPr>
        <w:spacing w:before="0" w:after="100"/>
      </w:pPr>
      <w:r>
        <w:t xml:space="preserve">• Ek-5: [Diğer Ek veya Teknik Belge]</w:t>
      </w:r>
    </w:p>
    <w:p>
      <w:pPr>
        <w:spacing w:before="0" w:after="160"/>
      </w:pPr>
      <w:r>
        <w:t xml:space="preserve"/>
      </w:r>
    </w:p>
    <w:p>
      <w:pPr>
        <w:spacing w:before="180" w:after="80"/>
      </w:pPr>
      <w:r>
        <w:rPr>
          <w:b/>
        </w:rPr>
        <w:t xml:space="preserve">İmzalar</w:t>
      </w:r>
    </w:p>
    <w:p>
      <w:pPr>
        <w:spacing w:before="40" w:after="40"/>
      </w:pPr>
      <w:r>
        <w:t xml:space="preserve">Tedarikçi: [Tedarikçi Ticaret Unvanı]</w:t>
      </w:r>
    </w:p>
    <w:p>
      <w:pPr>
        <w:spacing w:before="40" w:after="40"/>
      </w:pPr>
      <w:r>
        <w:t xml:space="preserve">Yetkili Ad Soyad / Unvan: [Ad Soyad] / [Unvan]</w:t>
      </w:r>
    </w:p>
    <w:p>
      <w:pPr>
        <w:spacing w:before="40" w:after="40"/>
      </w:pPr>
      <w:r>
        <w:t xml:space="preserve">Tarih: [Tarih]</w:t>
      </w:r>
    </w:p>
    <w:p>
      <w:pPr>
        <w:spacing w:before="40" w:after="40"/>
      </w:pPr>
      <w:r>
        <w:t xml:space="preserve">Kaşe / İmza: [Kaşe ve İmza]</w:t>
      </w:r>
    </w:p>
    <w:p>
      <w:pPr>
        <w:spacing w:before="0" w:after="160"/>
      </w:pPr>
      <w:r>
        <w:t xml:space="preserve"/>
      </w:r>
    </w:p>
    <w:p>
      <w:pPr>
        <w:spacing w:before="40" w:after="40"/>
      </w:pPr>
      <w:r>
        <w:t xml:space="preserve">Müşteri: [Müşteri Adı Soyadı veya Ticaret Unvanı]</w:t>
      </w:r>
    </w:p>
    <w:p>
      <w:pPr>
        <w:spacing w:before="40" w:after="40"/>
      </w:pPr>
      <w:r>
        <w:t xml:space="preserve">Yetkili Ad Soyad / Unvan: [Ad Soyad] / [Unvan]</w:t>
      </w:r>
    </w:p>
    <w:p>
      <w:pPr>
        <w:spacing w:before="40" w:after="40"/>
      </w:pPr>
      <w:r>
        <w:t xml:space="preserve">Tarih: [Tarih]</w:t>
      </w:r>
    </w:p>
    <w:p>
      <w:pPr>
        <w:spacing w:before="40" w:after="40"/>
      </w:pPr>
      <w:r>
        <w:t xml:space="preserve">Kaşe / İmza: [Kaşe ve İmza]</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Akaryakıt Sözleşme Örneği</dc:title>
  <dc:creator>Evrakci.com</dc:creator>
  <cp:lastModifiedBy>Evrakci.com</cp:lastModifiedBy>
  <dcterms:created xsi:type="dcterms:W3CDTF">2026-10-22T15:11:18Z</dcterms:created>
  <dcterms:modified xsi:type="dcterms:W3CDTF">2026-10-22T15:11:18Z</dcterms:modified>
</cp:coreProperties>
</file>